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eastAsia" w:ascii="方正小标宋_GBK" w:hAnsi="方正小标宋_GBK" w:eastAsia="方正小标宋_GBK" w:cs="方正小标宋_GBK"/>
          <w:b w:val="0"/>
          <w:bCs/>
          <w:sz w:val="44"/>
          <w:szCs w:val="44"/>
        </w:rPr>
      </w:pPr>
      <w:bookmarkStart w:id="0" w:name="_Toc17144"/>
      <w:bookmarkStart w:id="1" w:name="_Toc2809"/>
      <w:r>
        <w:rPr>
          <w:rFonts w:hint="eastAsia" w:ascii="方正小标宋_GBK" w:hAnsi="方正小标宋_GBK" w:eastAsia="方正小标宋_GBK" w:cs="方正小标宋_GBK"/>
          <w:b w:val="0"/>
          <w:bCs/>
          <w:sz w:val="44"/>
          <w:szCs w:val="44"/>
        </w:rPr>
        <w:t>深圳港客运码头</w:t>
      </w:r>
      <w:r>
        <w:rPr>
          <w:rFonts w:hint="eastAsia" w:ascii="方正小标宋_GBK" w:hAnsi="方正小标宋_GBK" w:eastAsia="方正小标宋_GBK" w:cs="方正小标宋_GBK"/>
          <w:b w:val="0"/>
          <w:bCs/>
          <w:sz w:val="44"/>
          <w:szCs w:val="44"/>
          <w:lang w:eastAsia="zh-CN"/>
        </w:rPr>
        <w:t>设置</w:t>
      </w:r>
      <w:r>
        <w:rPr>
          <w:rFonts w:hint="eastAsia" w:ascii="方正小标宋_GBK" w:hAnsi="方正小标宋_GBK" w:eastAsia="方正小标宋_GBK" w:cs="方正小标宋_GBK"/>
          <w:b w:val="0"/>
          <w:bCs/>
          <w:sz w:val="44"/>
          <w:szCs w:val="44"/>
        </w:rPr>
        <w:t>旅客国际中转区</w:t>
      </w:r>
      <w:bookmarkEnd w:id="0"/>
      <w:bookmarkEnd w:id="1"/>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eastAsia" w:ascii="仿宋" w:hAnsi="仿宋" w:eastAsia="方正小标宋_GBK"/>
          <w:sz w:val="32"/>
          <w:szCs w:val="32"/>
          <w:lang w:val="en-US" w:eastAsia="zh-CN"/>
        </w:rPr>
      </w:pPr>
      <w:bookmarkStart w:id="2" w:name="_Toc27415"/>
      <w:bookmarkStart w:id="3" w:name="_Toc27590"/>
      <w:bookmarkStart w:id="4" w:name="_Toc66"/>
      <w:r>
        <w:rPr>
          <w:rFonts w:hint="eastAsia" w:ascii="方正小标宋_GBK" w:hAnsi="方正小标宋_GBK" w:eastAsia="方正小标宋_GBK" w:cs="方正小标宋_GBK"/>
          <w:b w:val="0"/>
          <w:bCs/>
          <w:sz w:val="44"/>
          <w:szCs w:val="44"/>
        </w:rPr>
        <w:t>管理试行办法</w:t>
      </w:r>
      <w:bookmarkEnd w:id="2"/>
      <w:bookmarkEnd w:id="3"/>
      <w:bookmarkEnd w:id="4"/>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(征求意见稿)</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3" w:firstLineChars="200"/>
        <w:jc w:val="both"/>
        <w:textAlignment w:val="auto"/>
        <w:outlineLvl w:val="0"/>
        <w:rPr>
          <w:rFonts w:hint="eastAsia" w:ascii="楷体_GB2312" w:hAnsi="楷体_GB2312" w:eastAsia="楷体_GB2312" w:cs="楷体_GB2312"/>
          <w:b/>
          <w:bCs/>
          <w:color w:val="auto"/>
          <w:kern w:val="0"/>
          <w:sz w:val="32"/>
          <w:szCs w:val="28"/>
          <w:lang w:val="en-US" w:eastAsia="zh-CN" w:bidi="ar-SA"/>
        </w:rPr>
      </w:pPr>
      <w:bookmarkStart w:id="5" w:name="_Toc24683"/>
      <w:bookmarkStart w:id="6" w:name="_Toc15767"/>
      <w:bookmarkStart w:id="7" w:name="_Toc8714"/>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3" w:firstLineChars="200"/>
        <w:jc w:val="both"/>
        <w:textAlignment w:val="auto"/>
        <w:outlineLvl w:val="0"/>
        <w:rPr>
          <w:rFonts w:hint="eastAsia" w:ascii="楷体_GB2312" w:hAnsi="楷体_GB2312" w:eastAsia="楷体_GB2312" w:cs="楷体_GB2312"/>
          <w:b/>
          <w:bCs/>
          <w:color w:val="auto"/>
          <w:kern w:val="0"/>
          <w:sz w:val="32"/>
          <w:szCs w:val="28"/>
          <w:lang w:val="en-US" w:eastAsia="zh-CN" w:bidi="ar-SA"/>
        </w:rPr>
      </w:pPr>
      <w:r>
        <w:rPr>
          <w:rFonts w:hint="eastAsia" w:ascii="楷体_GB2312" w:hAnsi="楷体_GB2312" w:eastAsia="楷体_GB2312" w:cs="楷体_GB2312"/>
          <w:b/>
          <w:bCs/>
          <w:color w:val="auto"/>
          <w:kern w:val="0"/>
          <w:sz w:val="32"/>
          <w:szCs w:val="28"/>
          <w:lang w:val="en-US" w:eastAsia="zh-CN" w:bidi="ar-SA"/>
        </w:rPr>
        <w:t>第一条（目的和依据）</w:t>
      </w:r>
      <w:bookmarkEnd w:id="5"/>
      <w:bookmarkEnd w:id="6"/>
      <w:bookmarkEnd w:id="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为落实《深圳建设中国特色社会主义先行示范区综合改革试点</w:t>
      </w:r>
      <w:r>
        <w:rPr>
          <w:rFonts w:hint="default" w:ascii="仿宋_GB2312" w:hAnsi="仿宋_GB2312" w:eastAsia="仿宋_GB2312" w:cs="仿宋_GB2312"/>
          <w:sz w:val="32"/>
          <w:szCs w:val="32"/>
          <w:lang w:val="en-US" w:eastAsia="zh-CN"/>
        </w:rPr>
        <w:t>首批授权事项清单》</w:t>
      </w:r>
      <w:r>
        <w:rPr>
          <w:rFonts w:hint="eastAsia" w:ascii="仿宋_GB2312" w:hAnsi="仿宋_GB2312" w:eastAsia="仿宋_GB2312" w:cs="仿宋_GB2312"/>
          <w:sz w:val="32"/>
          <w:szCs w:val="32"/>
          <w:lang w:val="en-US" w:eastAsia="zh-CN"/>
        </w:rPr>
        <w:t>提出的“支持深圳在客运码头设置旅客国际中转区、优化出入境手续，以及延长口岸通关时间</w:t>
      </w:r>
      <w:r>
        <w:rPr>
          <w:rFonts w:hint="eastAsia" w:ascii="仿宋_GB2312" w:hAnsi="仿宋_GB2312" w:eastAsia="仿宋_GB2312" w:cs="仿宋_GB2312"/>
          <w:sz w:val="32"/>
          <w:szCs w:val="32"/>
          <w:lang w:val="zh-CN" w:eastAsia="zh-CN"/>
        </w:rPr>
        <w:t>”的改革事项，</w:t>
      </w:r>
      <w:r>
        <w:rPr>
          <w:rFonts w:hint="eastAsia" w:ascii="Times New Roman" w:hAnsi="Times New Roman" w:eastAsia="仿宋_GB2312"/>
          <w:color w:val="auto"/>
          <w:sz w:val="32"/>
          <w:szCs w:val="28"/>
          <w:lang w:eastAsia="zh-CN"/>
        </w:rPr>
        <w:t>规范深圳港客运码头国际中转区</w:t>
      </w:r>
      <w:r>
        <w:rPr>
          <w:rFonts w:hint="eastAsia" w:ascii="Times New Roman" w:hAnsi="Times New Roman" w:eastAsia="仿宋_GB2312"/>
          <w:color w:val="auto"/>
          <w:sz w:val="32"/>
          <w:szCs w:val="28"/>
        </w:rPr>
        <w:t>的管理</w:t>
      </w:r>
      <w:r>
        <w:rPr>
          <w:rFonts w:hint="eastAsia" w:ascii="Times New Roman" w:hAnsi="Times New Roman" w:eastAsia="仿宋_GB2312"/>
          <w:color w:val="auto"/>
          <w:sz w:val="32"/>
          <w:szCs w:val="28"/>
          <w:lang w:eastAsia="zh-CN"/>
        </w:rPr>
        <w:t>和旅客国际中转业务</w:t>
      </w:r>
      <w:r>
        <w:rPr>
          <w:rFonts w:hint="eastAsia" w:ascii="Times New Roman" w:hAnsi="Times New Roman" w:eastAsia="仿宋_GB2312"/>
          <w:color w:val="auto"/>
          <w:sz w:val="32"/>
          <w:szCs w:val="28"/>
        </w:rPr>
        <w:t>经营，维护</w:t>
      </w:r>
      <w:r>
        <w:rPr>
          <w:rFonts w:hint="eastAsia" w:ascii="Times New Roman" w:hAnsi="Times New Roman" w:eastAsia="仿宋_GB2312"/>
          <w:color w:val="auto"/>
          <w:sz w:val="32"/>
          <w:szCs w:val="28"/>
          <w:lang w:eastAsia="zh-CN"/>
        </w:rPr>
        <w:t>海港客运口岸</w:t>
      </w:r>
      <w:r>
        <w:rPr>
          <w:rFonts w:hint="eastAsia" w:ascii="Times New Roman" w:hAnsi="Times New Roman" w:eastAsia="仿宋_GB2312"/>
          <w:color w:val="auto"/>
          <w:sz w:val="32"/>
          <w:szCs w:val="28"/>
        </w:rPr>
        <w:t>的公共安全和秩序，依据《中华人民共和国港口法》、</w:t>
      </w:r>
      <w:r>
        <w:rPr>
          <w:rFonts w:hint="eastAsia" w:ascii="Times New Roman" w:hAnsi="Times New Roman" w:eastAsia="仿宋_GB2312"/>
          <w:color w:val="auto"/>
          <w:sz w:val="32"/>
          <w:szCs w:val="28"/>
          <w:lang w:eastAsia="zh-CN"/>
        </w:rPr>
        <w:t>《中华人民共和国出</w:t>
      </w:r>
      <w:r>
        <w:rPr>
          <w:rFonts w:hint="eastAsia" w:ascii="Times New Roman" w:hAnsi="Times New Roman" w:eastAsia="仿宋_GB2312"/>
          <w:color w:val="auto"/>
          <w:sz w:val="32"/>
          <w:szCs w:val="28"/>
          <w:lang w:val="en-US" w:eastAsia="zh-CN"/>
        </w:rPr>
        <w:t>境</w:t>
      </w:r>
      <w:bookmarkStart w:id="44" w:name="_GoBack"/>
      <w:bookmarkEnd w:id="44"/>
      <w:r>
        <w:rPr>
          <w:rFonts w:hint="eastAsia" w:ascii="Times New Roman" w:hAnsi="Times New Roman" w:eastAsia="仿宋_GB2312"/>
          <w:color w:val="auto"/>
          <w:sz w:val="32"/>
          <w:szCs w:val="28"/>
          <w:lang w:eastAsia="zh-CN"/>
        </w:rPr>
        <w:t>入境管理法》</w:t>
      </w:r>
      <w:r>
        <w:rPr>
          <w:rFonts w:hint="eastAsia" w:ascii="Times New Roman" w:hAnsi="Times New Roman" w:eastAsia="仿宋_GB2312"/>
          <w:color w:val="auto"/>
          <w:sz w:val="32"/>
          <w:szCs w:val="28"/>
        </w:rPr>
        <w:t>等法律、法规，结合</w:t>
      </w:r>
      <w:r>
        <w:rPr>
          <w:rFonts w:hint="eastAsia" w:ascii="Times New Roman" w:hAnsi="Times New Roman" w:eastAsia="仿宋_GB2312"/>
          <w:color w:val="auto"/>
          <w:sz w:val="32"/>
          <w:szCs w:val="28"/>
          <w:lang w:eastAsia="zh-CN"/>
        </w:rPr>
        <w:t>深圳港客运码头口岸</w:t>
      </w:r>
      <w:r>
        <w:rPr>
          <w:rFonts w:hint="eastAsia" w:ascii="Times New Roman" w:hAnsi="Times New Roman" w:eastAsia="仿宋_GB2312"/>
          <w:color w:val="auto"/>
          <w:sz w:val="32"/>
          <w:szCs w:val="28"/>
        </w:rPr>
        <w:t>的实际情况，</w:t>
      </w:r>
      <w:r>
        <w:rPr>
          <w:rFonts w:hint="eastAsia" w:ascii="仿宋_GB2312" w:hAnsi="仿宋_GB2312" w:eastAsia="仿宋_GB2312" w:cs="仿宋_GB2312"/>
          <w:sz w:val="32"/>
          <w:szCs w:val="32"/>
          <w:lang w:val="en-US" w:eastAsia="zh-CN"/>
        </w:rPr>
        <w:t>特制定本办法。</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3" w:firstLineChars="200"/>
        <w:jc w:val="both"/>
        <w:textAlignment w:val="auto"/>
        <w:rPr>
          <w:rFonts w:hint="eastAsia" w:ascii="楷体_GB2312" w:hAnsi="楷体_GB2312" w:eastAsia="楷体_GB2312" w:cs="楷体_GB2312"/>
          <w:b/>
          <w:bCs/>
          <w:color w:val="auto"/>
          <w:kern w:val="0"/>
          <w:sz w:val="32"/>
          <w:szCs w:val="28"/>
          <w:lang w:val="en-US" w:eastAsia="zh-CN" w:bidi="ar-SA"/>
        </w:rPr>
      </w:pPr>
      <w:bookmarkStart w:id="8" w:name="_Toc4229"/>
      <w:bookmarkStart w:id="9" w:name="_Toc56"/>
      <w:bookmarkStart w:id="10" w:name="_Toc5248"/>
      <w:r>
        <w:rPr>
          <w:rFonts w:hint="eastAsia" w:ascii="楷体_GB2312" w:hAnsi="楷体_GB2312" w:eastAsia="楷体_GB2312" w:cs="楷体_GB2312"/>
          <w:b/>
          <w:bCs/>
          <w:color w:val="auto"/>
          <w:kern w:val="0"/>
          <w:sz w:val="32"/>
          <w:szCs w:val="28"/>
          <w:lang w:val="en-US" w:eastAsia="zh-CN" w:bidi="ar-SA"/>
        </w:rPr>
        <w:t>第二条</w:t>
      </w:r>
      <w:bookmarkEnd w:id="8"/>
      <w:bookmarkEnd w:id="9"/>
      <w:bookmarkEnd w:id="10"/>
      <w:r>
        <w:rPr>
          <w:rFonts w:hint="eastAsia" w:ascii="楷体_GB2312" w:hAnsi="楷体_GB2312" w:eastAsia="楷体_GB2312" w:cs="楷体_GB2312"/>
          <w:b/>
          <w:bCs/>
          <w:color w:val="auto"/>
          <w:kern w:val="0"/>
          <w:sz w:val="32"/>
          <w:szCs w:val="28"/>
          <w:lang w:val="en-US" w:eastAsia="zh-CN" w:bidi="ar-SA"/>
        </w:rPr>
        <w:t xml:space="preserve"> （国际中转区含义）</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rPr>
      </w:pPr>
      <w:r>
        <w:rPr>
          <w:rFonts w:hint="eastAsia" w:ascii="Times New Roman" w:hAnsi="Times New Roman" w:eastAsia="仿宋_GB2312"/>
          <w:color w:val="auto"/>
          <w:sz w:val="32"/>
          <w:szCs w:val="28"/>
        </w:rPr>
        <w:t>本办法所称的</w:t>
      </w:r>
      <w:r>
        <w:rPr>
          <w:rFonts w:hint="eastAsia" w:ascii="Times New Roman" w:hAnsi="Times New Roman" w:eastAsia="仿宋_GB2312"/>
          <w:color w:val="auto"/>
          <w:sz w:val="32"/>
          <w:szCs w:val="28"/>
          <w:lang w:eastAsia="zh-CN"/>
        </w:rPr>
        <w:t>客运码头旅客国际中转区</w:t>
      </w:r>
      <w:r>
        <w:rPr>
          <w:rFonts w:hint="eastAsia" w:ascii="Times New Roman" w:hAnsi="Times New Roman" w:eastAsia="仿宋_GB2312"/>
          <w:color w:val="auto"/>
          <w:sz w:val="32"/>
          <w:szCs w:val="28"/>
        </w:rPr>
        <w:t>，是指在</w:t>
      </w:r>
      <w:r>
        <w:rPr>
          <w:rFonts w:hint="eastAsia" w:ascii="Times New Roman" w:hAnsi="Times New Roman" w:eastAsia="仿宋_GB2312"/>
          <w:color w:val="auto"/>
          <w:sz w:val="32"/>
          <w:szCs w:val="28"/>
          <w:lang w:eastAsia="zh-CN"/>
        </w:rPr>
        <w:t>深圳港客运码头口岸限定区</w:t>
      </w:r>
      <w:r>
        <w:rPr>
          <w:rFonts w:hint="eastAsia" w:ascii="Times New Roman" w:hAnsi="Times New Roman" w:eastAsia="仿宋_GB2312"/>
          <w:color w:val="auto"/>
          <w:sz w:val="32"/>
          <w:szCs w:val="28"/>
        </w:rPr>
        <w:t>范围内</w:t>
      </w:r>
      <w:r>
        <w:rPr>
          <w:rFonts w:hint="eastAsia" w:ascii="Times New Roman" w:hAnsi="Times New Roman" w:eastAsia="仿宋_GB2312"/>
          <w:color w:val="auto"/>
          <w:sz w:val="32"/>
          <w:szCs w:val="28"/>
          <w:lang w:eastAsia="zh-CN"/>
        </w:rPr>
        <w:t>为搭乘港澳航线</w:t>
      </w:r>
      <w:r>
        <w:rPr>
          <w:rFonts w:hint="eastAsia" w:ascii="Times New Roman" w:hAnsi="Times New Roman" w:eastAsia="仿宋_GB2312"/>
          <w:color w:val="auto"/>
          <w:sz w:val="32"/>
          <w:szCs w:val="28"/>
        </w:rPr>
        <w:t>客船</w:t>
      </w:r>
      <w:r>
        <w:rPr>
          <w:rFonts w:hint="eastAsia" w:ascii="Times New Roman" w:hAnsi="Times New Roman" w:eastAsia="仿宋_GB2312"/>
          <w:color w:val="auto"/>
          <w:sz w:val="32"/>
          <w:szCs w:val="28"/>
          <w:lang w:eastAsia="zh-CN"/>
        </w:rPr>
        <w:t>、国际航线邮轮的旅客，</w:t>
      </w:r>
      <w:r>
        <w:rPr>
          <w:rFonts w:hint="eastAsia" w:ascii="Times New Roman" w:hAnsi="Times New Roman" w:eastAsia="仿宋_GB2312"/>
          <w:color w:val="auto"/>
          <w:sz w:val="32"/>
          <w:szCs w:val="28"/>
        </w:rPr>
        <w:t>提供</w:t>
      </w:r>
      <w:r>
        <w:rPr>
          <w:rFonts w:hint="eastAsia" w:ascii="Times New Roman" w:hAnsi="Times New Roman" w:eastAsia="仿宋_GB2312"/>
          <w:color w:val="auto"/>
          <w:sz w:val="32"/>
          <w:szCs w:val="28"/>
          <w:lang w:eastAsia="zh-CN"/>
        </w:rPr>
        <w:t>国际中转、口岸通关、</w:t>
      </w:r>
      <w:r>
        <w:rPr>
          <w:rFonts w:hint="eastAsia" w:ascii="Times New Roman" w:hAnsi="Times New Roman" w:eastAsia="仿宋_GB2312"/>
          <w:color w:val="auto"/>
          <w:sz w:val="32"/>
          <w:szCs w:val="28"/>
        </w:rPr>
        <w:t>候船与上下船服务</w:t>
      </w:r>
      <w:r>
        <w:rPr>
          <w:rFonts w:hint="eastAsia" w:ascii="Times New Roman" w:hAnsi="Times New Roman" w:eastAsia="仿宋_GB2312"/>
          <w:color w:val="auto"/>
          <w:sz w:val="32"/>
          <w:szCs w:val="28"/>
          <w:lang w:eastAsia="zh-CN"/>
        </w:rPr>
        <w:t>以及办理相关业务手续</w:t>
      </w:r>
      <w:r>
        <w:rPr>
          <w:rFonts w:hint="eastAsia" w:ascii="Times New Roman" w:hAnsi="Times New Roman" w:eastAsia="仿宋_GB2312"/>
          <w:color w:val="auto"/>
          <w:sz w:val="32"/>
          <w:szCs w:val="28"/>
        </w:rPr>
        <w:t>的场所。</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3" w:firstLineChars="200"/>
        <w:jc w:val="both"/>
        <w:textAlignment w:val="auto"/>
        <w:rPr>
          <w:rFonts w:hint="eastAsia" w:ascii="Times New Roman" w:hAnsi="Times New Roman" w:eastAsia="仿宋_GB2312"/>
          <w:color w:val="auto"/>
          <w:sz w:val="32"/>
          <w:szCs w:val="28"/>
          <w:lang w:val="en-US" w:eastAsia="zh-CN"/>
        </w:rPr>
      </w:pPr>
      <w:bookmarkStart w:id="11" w:name="_Toc19363"/>
      <w:bookmarkStart w:id="12" w:name="_Toc455"/>
      <w:bookmarkStart w:id="13" w:name="_Toc25760"/>
      <w:r>
        <w:rPr>
          <w:rFonts w:hint="eastAsia" w:ascii="楷体_GB2312" w:hAnsi="楷体_GB2312" w:eastAsia="楷体_GB2312" w:cs="楷体_GB2312"/>
          <w:b/>
          <w:bCs/>
          <w:color w:val="auto"/>
          <w:kern w:val="0"/>
          <w:sz w:val="32"/>
          <w:szCs w:val="28"/>
          <w:lang w:val="en-US" w:eastAsia="zh-CN" w:bidi="ar-SA"/>
        </w:rPr>
        <w:t>第三条</w:t>
      </w:r>
      <w:bookmarkEnd w:id="11"/>
      <w:bookmarkEnd w:id="12"/>
      <w:bookmarkEnd w:id="13"/>
      <w:r>
        <w:rPr>
          <w:rFonts w:hint="eastAsia" w:ascii="楷体_GB2312" w:hAnsi="楷体_GB2312" w:eastAsia="楷体_GB2312" w:cs="楷体_GB2312"/>
          <w:b/>
          <w:bCs/>
          <w:color w:val="auto"/>
          <w:kern w:val="0"/>
          <w:sz w:val="32"/>
          <w:szCs w:val="28"/>
          <w:lang w:val="en-US" w:eastAsia="zh-CN" w:bidi="ar-SA"/>
        </w:rPr>
        <w:t>（适用范围）</w:t>
      </w:r>
      <w:r>
        <w:rPr>
          <w:rFonts w:hint="eastAsia" w:ascii="Times New Roman" w:hAnsi="Times New Roman" w:eastAsia="仿宋_GB2312"/>
          <w:color w:val="auto"/>
          <w:sz w:val="32"/>
          <w:szCs w:val="28"/>
          <w:lang w:val="en-US" w:eastAsia="zh-CN"/>
        </w:rPr>
        <w:t xml:space="preserve"> </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rPr>
      </w:pPr>
      <w:r>
        <w:rPr>
          <w:rFonts w:hint="eastAsia" w:ascii="Times New Roman" w:hAnsi="Times New Roman" w:eastAsia="仿宋_GB2312"/>
          <w:color w:val="auto"/>
          <w:sz w:val="32"/>
          <w:szCs w:val="28"/>
          <w:lang w:eastAsia="zh-CN"/>
        </w:rPr>
        <w:t>深圳</w:t>
      </w:r>
      <w:r>
        <w:rPr>
          <w:rFonts w:hint="eastAsia" w:ascii="Times New Roman" w:hAnsi="Times New Roman" w:eastAsia="仿宋_GB2312"/>
          <w:color w:val="auto"/>
          <w:sz w:val="32"/>
          <w:szCs w:val="28"/>
        </w:rPr>
        <w:t>港</w:t>
      </w:r>
      <w:r>
        <w:rPr>
          <w:rFonts w:hint="eastAsia" w:ascii="Times New Roman" w:hAnsi="Times New Roman" w:eastAsia="仿宋_GB2312"/>
          <w:color w:val="auto"/>
          <w:sz w:val="32"/>
          <w:szCs w:val="28"/>
          <w:lang w:eastAsia="zh-CN"/>
        </w:rPr>
        <w:t>客运码头旅客国际中转区</w:t>
      </w:r>
      <w:r>
        <w:rPr>
          <w:rFonts w:hint="eastAsia" w:ascii="Times New Roman" w:hAnsi="Times New Roman" w:eastAsia="仿宋_GB2312"/>
          <w:color w:val="auto"/>
          <w:sz w:val="32"/>
          <w:szCs w:val="28"/>
        </w:rPr>
        <w:t>的</w:t>
      </w:r>
      <w:r>
        <w:rPr>
          <w:rFonts w:hint="eastAsia" w:ascii="Times New Roman" w:hAnsi="Times New Roman" w:eastAsia="仿宋_GB2312"/>
          <w:color w:val="auto"/>
          <w:sz w:val="32"/>
          <w:szCs w:val="28"/>
          <w:lang w:eastAsia="zh-CN"/>
        </w:rPr>
        <w:t>建设、</w:t>
      </w:r>
      <w:r>
        <w:rPr>
          <w:rFonts w:hint="eastAsia" w:ascii="Times New Roman" w:hAnsi="Times New Roman" w:eastAsia="仿宋_GB2312"/>
          <w:color w:val="auto"/>
          <w:sz w:val="32"/>
          <w:szCs w:val="28"/>
        </w:rPr>
        <w:t>运营及其相关管理活动，适用本办法。</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3" w:firstLineChars="200"/>
        <w:jc w:val="both"/>
        <w:textAlignment w:val="auto"/>
        <w:outlineLvl w:val="0"/>
        <w:rPr>
          <w:rFonts w:hint="eastAsia" w:ascii="楷体_GB2312" w:hAnsi="楷体_GB2312" w:eastAsia="楷体_GB2312" w:cs="楷体_GB2312"/>
          <w:b/>
          <w:bCs/>
          <w:color w:val="auto"/>
          <w:kern w:val="0"/>
          <w:sz w:val="32"/>
          <w:szCs w:val="28"/>
          <w:lang w:val="en-US" w:eastAsia="zh-CN" w:bidi="ar-SA"/>
        </w:rPr>
      </w:pPr>
      <w:bookmarkStart w:id="14" w:name="_Toc31038"/>
      <w:bookmarkStart w:id="15" w:name="_Toc2005"/>
      <w:bookmarkStart w:id="16" w:name="_Toc16515"/>
      <w:r>
        <w:rPr>
          <w:rFonts w:hint="eastAsia" w:ascii="楷体_GB2312" w:hAnsi="楷体_GB2312" w:eastAsia="楷体_GB2312" w:cs="楷体_GB2312"/>
          <w:b/>
          <w:bCs/>
          <w:color w:val="auto"/>
          <w:kern w:val="0"/>
          <w:sz w:val="32"/>
          <w:szCs w:val="28"/>
          <w:lang w:val="en-US" w:eastAsia="zh-CN" w:bidi="ar-SA"/>
        </w:rPr>
        <w:t>第四条</w:t>
      </w:r>
      <w:bookmarkEnd w:id="14"/>
      <w:bookmarkEnd w:id="15"/>
      <w:bookmarkEnd w:id="16"/>
      <w:bookmarkStart w:id="17" w:name="_Toc26986"/>
      <w:bookmarkStart w:id="18" w:name="_Toc27934"/>
      <w:bookmarkStart w:id="19" w:name="_Toc6505"/>
      <w:r>
        <w:rPr>
          <w:rFonts w:hint="eastAsia" w:ascii="楷体_GB2312" w:hAnsi="楷体_GB2312" w:eastAsia="楷体_GB2312" w:cs="楷体_GB2312"/>
          <w:b/>
          <w:bCs/>
          <w:color w:val="auto"/>
          <w:kern w:val="0"/>
          <w:sz w:val="32"/>
          <w:szCs w:val="28"/>
          <w:lang w:val="en-US" w:eastAsia="zh-CN" w:bidi="ar-SA"/>
        </w:rPr>
        <w:t>（管理部门）</w:t>
      </w:r>
      <w:bookmarkEnd w:id="17"/>
      <w:bookmarkEnd w:id="18"/>
      <w:bookmarkEnd w:id="19"/>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rPr>
      </w:pPr>
      <w:r>
        <w:rPr>
          <w:rFonts w:hint="eastAsia" w:ascii="Times New Roman" w:hAnsi="Times New Roman" w:eastAsia="仿宋_GB2312"/>
          <w:color w:val="auto"/>
          <w:sz w:val="32"/>
          <w:szCs w:val="28"/>
        </w:rPr>
        <w:t>市</w:t>
      </w:r>
      <w:r>
        <w:rPr>
          <w:rFonts w:hint="eastAsia" w:ascii="Times New Roman" w:hAnsi="Times New Roman" w:eastAsia="仿宋_GB2312"/>
          <w:color w:val="auto"/>
          <w:sz w:val="32"/>
          <w:szCs w:val="28"/>
          <w:lang w:eastAsia="zh-CN"/>
        </w:rPr>
        <w:t>港航主管</w:t>
      </w:r>
      <w:r>
        <w:rPr>
          <w:rFonts w:hint="eastAsia" w:ascii="Times New Roman" w:hAnsi="Times New Roman" w:eastAsia="仿宋_GB2312"/>
          <w:color w:val="auto"/>
          <w:sz w:val="32"/>
          <w:szCs w:val="28"/>
        </w:rPr>
        <w:t>部门是</w:t>
      </w:r>
      <w:r>
        <w:rPr>
          <w:rFonts w:hint="eastAsia" w:ascii="Times New Roman" w:hAnsi="Times New Roman" w:eastAsia="仿宋_GB2312"/>
          <w:color w:val="auto"/>
          <w:sz w:val="32"/>
          <w:szCs w:val="28"/>
          <w:lang w:eastAsia="zh-CN"/>
        </w:rPr>
        <w:t>深圳港客运码头</w:t>
      </w:r>
      <w:r>
        <w:rPr>
          <w:rFonts w:hint="eastAsia" w:ascii="Times New Roman" w:hAnsi="Times New Roman" w:eastAsia="仿宋_GB2312"/>
          <w:color w:val="auto"/>
          <w:sz w:val="32"/>
          <w:szCs w:val="28"/>
        </w:rPr>
        <w:t>的行政主管部门</w:t>
      </w:r>
      <w:r>
        <w:rPr>
          <w:rFonts w:hint="eastAsia" w:ascii="Times New Roman" w:hAnsi="Times New Roman" w:eastAsia="仿宋_GB2312"/>
          <w:color w:val="auto"/>
          <w:sz w:val="32"/>
          <w:szCs w:val="28"/>
          <w:lang w:eastAsia="zh-CN"/>
        </w:rPr>
        <w:t>，</w:t>
      </w:r>
      <w:r>
        <w:rPr>
          <w:rFonts w:hint="eastAsia" w:ascii="Times New Roman" w:hAnsi="Times New Roman" w:eastAsia="仿宋_GB2312"/>
          <w:color w:val="auto"/>
          <w:sz w:val="32"/>
          <w:szCs w:val="28"/>
        </w:rPr>
        <w:t>负责</w:t>
      </w:r>
      <w:r>
        <w:rPr>
          <w:rFonts w:hint="eastAsia" w:ascii="Times New Roman" w:hAnsi="Times New Roman" w:eastAsia="仿宋_GB2312"/>
          <w:color w:val="auto"/>
          <w:sz w:val="32"/>
          <w:szCs w:val="28"/>
          <w:lang w:eastAsia="zh-CN"/>
        </w:rPr>
        <w:t>码头旅客国际中转区的建设相关行业管理工作</w:t>
      </w:r>
      <w:r>
        <w:rPr>
          <w:rFonts w:hint="eastAsia" w:ascii="Times New Roman" w:hAnsi="Times New Roman" w:eastAsia="仿宋_GB2312"/>
          <w:color w:val="auto"/>
          <w:sz w:val="32"/>
          <w:szCs w:val="28"/>
        </w:rPr>
        <w:t>。</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lang w:eastAsia="zh-CN"/>
        </w:rPr>
      </w:pPr>
      <w:r>
        <w:rPr>
          <w:rFonts w:hint="eastAsia" w:ascii="Times New Roman" w:hAnsi="Times New Roman" w:eastAsia="仿宋_GB2312"/>
          <w:color w:val="auto"/>
          <w:sz w:val="32"/>
          <w:szCs w:val="28"/>
          <w:lang w:eastAsia="zh-CN"/>
        </w:rPr>
        <w:t>市口岸主管部门是深圳港口岸的行政主管部门，负责旅客国际中转区</w:t>
      </w:r>
      <w:r>
        <w:rPr>
          <w:rFonts w:hint="eastAsia" w:ascii="Times New Roman" w:hAnsi="Times New Roman" w:eastAsia="仿宋_GB2312"/>
          <w:color w:val="auto"/>
          <w:sz w:val="32"/>
          <w:szCs w:val="28"/>
        </w:rPr>
        <w:t>管理办法的组织实施</w:t>
      </w:r>
      <w:r>
        <w:rPr>
          <w:rFonts w:hint="eastAsia" w:ascii="Times New Roman" w:hAnsi="Times New Roman" w:eastAsia="仿宋_GB2312"/>
          <w:color w:val="auto"/>
          <w:sz w:val="32"/>
          <w:szCs w:val="28"/>
          <w:lang w:eastAsia="zh-CN"/>
        </w:rPr>
        <w:t>以及验收启用。</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rPr>
      </w:pPr>
      <w:r>
        <w:rPr>
          <w:rFonts w:hint="eastAsia" w:ascii="Times New Roman" w:hAnsi="Times New Roman" w:eastAsia="仿宋_GB2312"/>
          <w:color w:val="auto"/>
          <w:sz w:val="32"/>
          <w:szCs w:val="28"/>
        </w:rPr>
        <w:t>海关、边检</w:t>
      </w:r>
      <w:r>
        <w:rPr>
          <w:rFonts w:hint="eastAsia" w:ascii="Times New Roman" w:hAnsi="Times New Roman" w:eastAsia="仿宋_GB2312"/>
          <w:color w:val="auto"/>
          <w:sz w:val="32"/>
          <w:szCs w:val="28"/>
          <w:lang w:eastAsia="zh-CN"/>
        </w:rPr>
        <w:t>、</w:t>
      </w:r>
      <w:r>
        <w:rPr>
          <w:rFonts w:hint="eastAsia" w:ascii="Times New Roman" w:hAnsi="Times New Roman" w:eastAsia="仿宋_GB2312"/>
          <w:color w:val="auto"/>
          <w:sz w:val="32"/>
          <w:szCs w:val="28"/>
        </w:rPr>
        <w:t>海事以及本市其他有关行政管理部门在各自职责范围内，协同实施本办法。</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3" w:firstLineChars="200"/>
        <w:jc w:val="both"/>
        <w:textAlignment w:val="auto"/>
        <w:outlineLvl w:val="0"/>
        <w:rPr>
          <w:rFonts w:hint="eastAsia" w:ascii="楷体_GB2312" w:hAnsi="楷体_GB2312" w:eastAsia="楷体_GB2312" w:cs="楷体_GB2312"/>
          <w:b/>
          <w:bCs/>
          <w:color w:val="auto"/>
          <w:kern w:val="0"/>
          <w:sz w:val="32"/>
          <w:szCs w:val="28"/>
          <w:lang w:val="en-US" w:eastAsia="zh-CN" w:bidi="ar-SA"/>
        </w:rPr>
      </w:pPr>
      <w:r>
        <w:rPr>
          <w:rFonts w:hint="eastAsia" w:ascii="楷体_GB2312" w:hAnsi="楷体_GB2312" w:eastAsia="楷体_GB2312" w:cs="楷体_GB2312"/>
          <w:b/>
          <w:bCs/>
          <w:color w:val="auto"/>
          <w:kern w:val="0"/>
          <w:sz w:val="32"/>
          <w:szCs w:val="28"/>
          <w:lang w:val="en-US" w:eastAsia="zh-CN" w:bidi="ar-SA"/>
        </w:rPr>
        <w:t>第五条（经营管理主体）</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楷体_GB2312" w:hAnsi="楷体_GB2312" w:eastAsia="楷体_GB2312" w:cs="楷体_GB2312"/>
          <w:b/>
          <w:bCs/>
          <w:color w:val="auto"/>
          <w:kern w:val="0"/>
          <w:sz w:val="32"/>
          <w:szCs w:val="28"/>
          <w:lang w:val="en-US" w:eastAsia="zh-CN" w:bidi="ar-SA"/>
        </w:rPr>
      </w:pPr>
      <w:r>
        <w:rPr>
          <w:rFonts w:hint="eastAsia" w:ascii="Times New Roman" w:hAnsi="Times New Roman" w:eastAsia="仿宋_GB2312"/>
          <w:color w:val="auto"/>
          <w:sz w:val="32"/>
          <w:szCs w:val="28"/>
          <w:lang w:eastAsia="zh-CN"/>
        </w:rPr>
        <w:t>客运码头旅客国际中转区由客运码头</w:t>
      </w:r>
      <w:r>
        <w:rPr>
          <w:rFonts w:hint="eastAsia" w:ascii="Times New Roman" w:hAnsi="Times New Roman" w:eastAsia="仿宋_GB2312" w:cstheme="minorBidi"/>
          <w:color w:val="auto"/>
          <w:kern w:val="0"/>
          <w:sz w:val="32"/>
          <w:szCs w:val="28"/>
          <w:lang w:val="en-US" w:eastAsia="zh-CN" w:bidi="ar-SA"/>
        </w:rPr>
        <w:t>经营单位负责立项施工建设、申报验收启用和日常经营管理。</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3" w:firstLineChars="200"/>
        <w:jc w:val="both"/>
        <w:textAlignment w:val="auto"/>
        <w:outlineLvl w:val="0"/>
        <w:rPr>
          <w:rFonts w:hint="eastAsia" w:ascii="楷体_GB2312" w:hAnsi="楷体_GB2312" w:eastAsia="楷体_GB2312" w:cs="楷体_GB2312"/>
          <w:b/>
          <w:bCs/>
          <w:color w:val="auto"/>
          <w:kern w:val="0"/>
          <w:sz w:val="32"/>
          <w:szCs w:val="28"/>
          <w:lang w:val="en-US" w:eastAsia="zh-CN" w:bidi="ar-SA"/>
        </w:rPr>
      </w:pPr>
      <w:bookmarkStart w:id="20" w:name="_Toc10644"/>
      <w:bookmarkStart w:id="21" w:name="_Toc4424"/>
      <w:bookmarkStart w:id="22" w:name="_Toc22179"/>
      <w:bookmarkStart w:id="23" w:name="_Toc3802"/>
      <w:bookmarkStart w:id="24" w:name="_Toc1064"/>
      <w:bookmarkStart w:id="25" w:name="_Toc2378"/>
      <w:r>
        <w:rPr>
          <w:rFonts w:hint="eastAsia" w:ascii="楷体_GB2312" w:hAnsi="楷体_GB2312" w:eastAsia="楷体_GB2312" w:cs="楷体_GB2312"/>
          <w:b/>
          <w:bCs/>
          <w:color w:val="auto"/>
          <w:kern w:val="0"/>
          <w:sz w:val="32"/>
          <w:szCs w:val="28"/>
          <w:lang w:val="en-US" w:eastAsia="zh-CN" w:bidi="ar-SA"/>
        </w:rPr>
        <w:t>第六条</w:t>
      </w:r>
      <w:bookmarkEnd w:id="20"/>
      <w:bookmarkEnd w:id="21"/>
      <w:bookmarkEnd w:id="22"/>
      <w:r>
        <w:rPr>
          <w:rFonts w:hint="eastAsia" w:ascii="楷体_GB2312" w:hAnsi="楷体_GB2312" w:eastAsia="楷体_GB2312" w:cs="楷体_GB2312"/>
          <w:b/>
          <w:bCs/>
          <w:color w:val="auto"/>
          <w:kern w:val="0"/>
          <w:sz w:val="32"/>
          <w:szCs w:val="28"/>
          <w:lang w:val="en-US" w:eastAsia="zh-CN" w:bidi="ar-SA"/>
        </w:rPr>
        <w:t>（场地建设要求）</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rPr>
      </w:pPr>
      <w:r>
        <w:rPr>
          <w:rFonts w:hint="eastAsia" w:ascii="Times New Roman" w:hAnsi="Times New Roman" w:eastAsia="仿宋_GB2312"/>
          <w:color w:val="auto"/>
          <w:sz w:val="32"/>
          <w:szCs w:val="28"/>
          <w:lang w:eastAsia="zh-CN"/>
        </w:rPr>
        <w:t>客运码头旅客国际中转区</w:t>
      </w:r>
      <w:r>
        <w:rPr>
          <w:rFonts w:hint="eastAsia" w:ascii="Times New Roman" w:hAnsi="Times New Roman" w:eastAsia="仿宋_GB2312"/>
          <w:color w:val="auto"/>
          <w:sz w:val="32"/>
          <w:szCs w:val="28"/>
        </w:rPr>
        <w:t>的建设，应当符合</w:t>
      </w:r>
      <w:r>
        <w:rPr>
          <w:rFonts w:hint="eastAsia" w:ascii="Times New Roman" w:hAnsi="Times New Roman" w:eastAsia="仿宋_GB2312"/>
          <w:color w:val="auto"/>
          <w:sz w:val="32"/>
          <w:szCs w:val="28"/>
          <w:lang w:eastAsia="zh-CN"/>
        </w:rPr>
        <w:t>深圳港客运码头</w:t>
      </w:r>
      <w:r>
        <w:rPr>
          <w:rFonts w:hint="eastAsia" w:ascii="Times New Roman" w:hAnsi="Times New Roman" w:eastAsia="仿宋_GB2312"/>
          <w:color w:val="auto"/>
          <w:sz w:val="32"/>
          <w:szCs w:val="28"/>
        </w:rPr>
        <w:t>布局规划、港区控制性详细规划，以及国家和本市港口设施建设的有关规定。</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stheme="minorBidi"/>
          <w:color w:val="auto"/>
          <w:kern w:val="0"/>
          <w:sz w:val="32"/>
          <w:szCs w:val="28"/>
          <w:lang w:val="en-US" w:eastAsia="zh-CN" w:bidi="ar-SA"/>
        </w:rPr>
      </w:pPr>
      <w:r>
        <w:rPr>
          <w:rFonts w:hint="eastAsia" w:ascii="Times New Roman" w:hAnsi="Times New Roman" w:eastAsia="仿宋_GB2312"/>
          <w:color w:val="auto"/>
          <w:sz w:val="32"/>
          <w:szCs w:val="28"/>
          <w:lang w:eastAsia="zh-CN"/>
        </w:rPr>
        <w:t>客运码头旅客国际中转区</w:t>
      </w:r>
      <w:r>
        <w:rPr>
          <w:rFonts w:hint="eastAsia" w:ascii="Times New Roman" w:hAnsi="Times New Roman" w:eastAsia="仿宋_GB2312" w:cstheme="minorBidi"/>
          <w:color w:val="auto"/>
          <w:kern w:val="0"/>
          <w:sz w:val="32"/>
          <w:szCs w:val="28"/>
          <w:lang w:val="en-US" w:eastAsia="zh-CN" w:bidi="ar-SA"/>
        </w:rPr>
        <w:t>设施设备、口岸查验基础设施</w:t>
      </w:r>
      <w:r>
        <w:rPr>
          <w:rFonts w:hint="eastAsia" w:ascii="Times New Roman" w:hAnsi="Times New Roman" w:eastAsia="仿宋_GB2312"/>
          <w:color w:val="auto"/>
          <w:sz w:val="32"/>
          <w:szCs w:val="28"/>
        </w:rPr>
        <w:t>应当</w:t>
      </w:r>
      <w:r>
        <w:rPr>
          <w:rFonts w:hint="eastAsia" w:ascii="Times New Roman" w:hAnsi="Times New Roman" w:eastAsia="仿宋_GB2312" w:cstheme="minorBidi"/>
          <w:color w:val="auto"/>
          <w:kern w:val="0"/>
          <w:sz w:val="32"/>
          <w:szCs w:val="28"/>
          <w:lang w:val="en-US" w:eastAsia="zh-CN" w:bidi="ar-SA"/>
        </w:rPr>
        <w:t>符合国家有关规定和口岸查验基础设施建设标准。</w:t>
      </w:r>
    </w:p>
    <w:p>
      <w:pPr>
        <w:keepNext w:val="0"/>
        <w:keepLines w:val="0"/>
        <w:pageBreakBefore w:val="0"/>
        <w:widowControl/>
        <w:suppressLineNumbers w:val="0"/>
        <w:kinsoku/>
        <w:wordWrap/>
        <w:overflowPunct/>
        <w:topLinePunct w:val="0"/>
        <w:autoSpaceDE/>
        <w:autoSpaceDN/>
        <w:bidi w:val="0"/>
        <w:spacing w:line="560" w:lineRule="exact"/>
        <w:ind w:firstLine="643" w:firstLineChars="200"/>
        <w:jc w:val="left"/>
        <w:textAlignment w:val="auto"/>
        <w:rPr>
          <w:rFonts w:hint="eastAsia" w:ascii="楷体_GB2312" w:hAnsi="楷体_GB2312" w:eastAsia="楷体_GB2312" w:cs="楷体_GB2312"/>
          <w:b/>
          <w:bCs/>
          <w:color w:val="auto"/>
          <w:kern w:val="0"/>
          <w:sz w:val="32"/>
          <w:szCs w:val="28"/>
          <w:lang w:val="en-US" w:eastAsia="zh-CN" w:bidi="ar-SA"/>
        </w:rPr>
      </w:pPr>
      <w:r>
        <w:rPr>
          <w:rFonts w:hint="eastAsia" w:ascii="楷体_GB2312" w:hAnsi="楷体_GB2312" w:eastAsia="楷体_GB2312" w:cs="楷体_GB2312"/>
          <w:b/>
          <w:bCs/>
          <w:color w:val="auto"/>
          <w:kern w:val="0"/>
          <w:sz w:val="32"/>
          <w:szCs w:val="28"/>
          <w:lang w:val="en-US" w:eastAsia="zh-CN" w:bidi="ar-SA"/>
        </w:rPr>
        <w:t>第七条</w:t>
      </w:r>
      <w:bookmarkEnd w:id="23"/>
      <w:bookmarkEnd w:id="24"/>
      <w:bookmarkEnd w:id="25"/>
      <w:r>
        <w:rPr>
          <w:rFonts w:hint="eastAsia" w:ascii="楷体_GB2312" w:hAnsi="楷体_GB2312" w:eastAsia="楷体_GB2312" w:cs="楷体_GB2312"/>
          <w:b/>
          <w:bCs/>
          <w:color w:val="auto"/>
          <w:kern w:val="0"/>
          <w:sz w:val="32"/>
          <w:szCs w:val="28"/>
          <w:lang w:val="en-US" w:eastAsia="zh-CN" w:bidi="ar-SA"/>
        </w:rPr>
        <w:t>（启用验收）</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lang w:val="en-US" w:eastAsia="zh-CN"/>
        </w:rPr>
      </w:pPr>
      <w:r>
        <w:rPr>
          <w:rFonts w:hint="eastAsia" w:ascii="Times New Roman" w:hAnsi="Times New Roman" w:eastAsia="仿宋_GB2312"/>
          <w:color w:val="auto"/>
          <w:sz w:val="32"/>
          <w:szCs w:val="28"/>
          <w:lang w:val="en-US" w:eastAsia="zh-CN"/>
        </w:rPr>
        <w:t>客运码头旅客国际中转区正式启用前，需报请市口岸主管部门组织进行验收。验收通过后，市口岸主管部门应当在十个工作日内批复正式启用。申请设置客运码头旅客国际中转区，应具备以下条件：</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lang w:val="en-US" w:eastAsia="zh-CN"/>
        </w:rPr>
      </w:pPr>
      <w:r>
        <w:rPr>
          <w:rFonts w:hint="eastAsia" w:ascii="Times New Roman" w:hAnsi="Times New Roman" w:eastAsia="仿宋_GB2312"/>
          <w:color w:val="auto"/>
          <w:sz w:val="32"/>
          <w:szCs w:val="28"/>
          <w:lang w:val="en-US" w:eastAsia="zh-CN"/>
        </w:rPr>
        <w:t>（一）国际中转区域场地设施设备、口岸查验基础设施符合国家港口和客运码头管理有关规定和查验基础设施建设标准。</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lang w:val="en-US" w:eastAsia="zh-CN"/>
        </w:rPr>
      </w:pPr>
      <w:r>
        <w:rPr>
          <w:rFonts w:hint="eastAsia" w:ascii="Times New Roman" w:hAnsi="Times New Roman" w:eastAsia="仿宋_GB2312"/>
          <w:color w:val="auto"/>
          <w:sz w:val="32"/>
          <w:szCs w:val="28"/>
          <w:lang w:val="en-US" w:eastAsia="zh-CN"/>
        </w:rPr>
        <w:t>（二）国际中转区域所在码头生产运行所需审批手续履行完毕。</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lang w:val="en-US" w:eastAsia="zh-CN"/>
        </w:rPr>
      </w:pPr>
      <w:r>
        <w:rPr>
          <w:rFonts w:hint="eastAsia" w:ascii="Times New Roman" w:hAnsi="Times New Roman" w:eastAsia="仿宋_GB2312"/>
          <w:color w:val="auto"/>
          <w:sz w:val="32"/>
          <w:szCs w:val="28"/>
          <w:lang w:val="en-US" w:eastAsia="zh-CN"/>
        </w:rPr>
        <w:t>（三）国际中转区域所在码头已建立规范安全运行机制及配套管理制度。</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Times New Roman" w:hAnsi="Times New Roman" w:eastAsia="仿宋_GB2312"/>
          <w:color w:val="auto"/>
          <w:sz w:val="32"/>
          <w:szCs w:val="28"/>
          <w:lang w:eastAsia="zh-CN"/>
        </w:rPr>
      </w:pPr>
      <w:r>
        <w:rPr>
          <w:rFonts w:hint="eastAsia" w:ascii="Times New Roman" w:hAnsi="Times New Roman" w:eastAsia="仿宋_GB2312"/>
          <w:color w:val="auto"/>
          <w:sz w:val="32"/>
          <w:szCs w:val="28"/>
          <w:lang w:val="en-US" w:eastAsia="zh-CN"/>
        </w:rPr>
        <w:t>（四）</w:t>
      </w:r>
      <w:r>
        <w:rPr>
          <w:rFonts w:hint="eastAsia" w:ascii="Times New Roman" w:hAnsi="Times New Roman" w:eastAsia="仿宋_GB2312"/>
          <w:color w:val="auto"/>
          <w:sz w:val="32"/>
          <w:szCs w:val="28"/>
        </w:rPr>
        <w:t>国际中转区域</w:t>
      </w:r>
      <w:r>
        <w:rPr>
          <w:rFonts w:hint="eastAsia" w:ascii="Times New Roman" w:hAnsi="Times New Roman" w:eastAsia="仿宋_GB2312"/>
          <w:color w:val="auto"/>
          <w:sz w:val="32"/>
          <w:szCs w:val="28"/>
          <w:lang w:eastAsia="zh-CN"/>
        </w:rPr>
        <w:t>相关</w:t>
      </w:r>
      <w:r>
        <w:rPr>
          <w:rFonts w:hint="eastAsia" w:ascii="Times New Roman" w:hAnsi="Times New Roman" w:eastAsia="仿宋_GB2312"/>
          <w:color w:val="auto"/>
          <w:sz w:val="32"/>
          <w:szCs w:val="28"/>
        </w:rPr>
        <w:t>场地设施应满足</w:t>
      </w:r>
      <w:r>
        <w:rPr>
          <w:rFonts w:hint="eastAsia" w:ascii="Times New Roman" w:hAnsi="Times New Roman" w:eastAsia="仿宋_GB2312"/>
          <w:color w:val="auto"/>
          <w:sz w:val="32"/>
          <w:szCs w:val="28"/>
          <w:lang w:eastAsia="zh-CN"/>
        </w:rPr>
        <w:t>口岸</w:t>
      </w:r>
      <w:r>
        <w:rPr>
          <w:rFonts w:hint="eastAsia" w:ascii="Times New Roman" w:hAnsi="Times New Roman" w:eastAsia="仿宋_GB2312"/>
          <w:color w:val="auto"/>
          <w:sz w:val="32"/>
          <w:szCs w:val="28"/>
        </w:rPr>
        <w:t>查验</w:t>
      </w:r>
      <w:r>
        <w:rPr>
          <w:rFonts w:hint="eastAsia" w:ascii="Times New Roman" w:hAnsi="Times New Roman" w:eastAsia="仿宋_GB2312"/>
          <w:color w:val="auto"/>
          <w:sz w:val="32"/>
          <w:szCs w:val="28"/>
          <w:lang w:eastAsia="zh-CN"/>
        </w:rPr>
        <w:t>单位执法执勤、备勤办公等需要。</w:t>
      </w:r>
    </w:p>
    <w:p>
      <w:pPr>
        <w:pStyle w:val="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3" w:firstLineChars="200"/>
        <w:jc w:val="both"/>
        <w:textAlignment w:val="auto"/>
        <w:outlineLvl w:val="0"/>
        <w:rPr>
          <w:rFonts w:hint="eastAsia" w:ascii="楷体_GB2312" w:hAnsi="楷体_GB2312" w:eastAsia="楷体_GB2312" w:cs="楷体_GB2312"/>
          <w:b/>
          <w:bCs/>
          <w:color w:val="auto"/>
          <w:kern w:val="0"/>
          <w:sz w:val="32"/>
          <w:szCs w:val="28"/>
          <w:lang w:val="en-US" w:eastAsia="zh-CN" w:bidi="ar-SA"/>
        </w:rPr>
      </w:pPr>
      <w:bookmarkStart w:id="26" w:name="_Toc31570"/>
      <w:bookmarkStart w:id="27" w:name="_Toc4626"/>
      <w:bookmarkStart w:id="28" w:name="_Toc37"/>
      <w:r>
        <w:rPr>
          <w:rFonts w:hint="eastAsia" w:ascii="楷体_GB2312" w:hAnsi="楷体_GB2312" w:eastAsia="楷体_GB2312" w:cs="楷体_GB2312"/>
          <w:b/>
          <w:bCs/>
          <w:color w:val="auto"/>
          <w:kern w:val="0"/>
          <w:sz w:val="32"/>
          <w:szCs w:val="28"/>
          <w:lang w:val="en-US" w:eastAsia="zh-CN" w:bidi="ar-SA"/>
        </w:rPr>
        <w:t>第八条（通关查验）</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eastAsia="仿宋_GB2312"/>
          <w:b w:val="0"/>
          <w:bCs w:val="0"/>
          <w:color w:val="000000"/>
          <w:sz w:val="32"/>
          <w:szCs w:val="32"/>
          <w:lang w:val="en-US" w:eastAsia="zh-CN"/>
        </w:rPr>
      </w:pPr>
      <w:r>
        <w:rPr>
          <w:rFonts w:hint="eastAsia" w:eastAsia="仿宋_GB2312"/>
          <w:b w:val="0"/>
          <w:bCs w:val="0"/>
          <w:color w:val="000000"/>
          <w:sz w:val="32"/>
          <w:szCs w:val="32"/>
          <w:lang w:val="en-US" w:eastAsia="zh-CN"/>
        </w:rPr>
        <w:t>边检部门依法对国际中转旅客实施出入境边防检查，办理边检查验手续。</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eastAsia="仿宋_GB2312"/>
          <w:b w:val="0"/>
          <w:bCs w:val="0"/>
          <w:color w:val="000000"/>
          <w:sz w:val="32"/>
          <w:szCs w:val="32"/>
          <w:lang w:val="en-US" w:eastAsia="zh-CN"/>
        </w:rPr>
      </w:pPr>
      <w:r>
        <w:rPr>
          <w:rFonts w:hint="eastAsia" w:eastAsia="仿宋_GB2312"/>
          <w:b w:val="0"/>
          <w:bCs w:val="0"/>
          <w:color w:val="000000"/>
          <w:sz w:val="32"/>
          <w:szCs w:val="32"/>
          <w:lang w:val="en-US" w:eastAsia="zh-CN"/>
        </w:rPr>
        <w:t>海关部门依法对国际中转旅客行李物品实施监管，除海关部门认为必要的以外，一般不予查验。</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eastAsia="仿宋_GB2312"/>
          <w:b w:val="0"/>
          <w:bCs w:val="0"/>
          <w:color w:val="000000"/>
          <w:sz w:val="32"/>
          <w:szCs w:val="32"/>
          <w:lang w:val="en-US" w:eastAsia="zh-CN"/>
        </w:rPr>
      </w:pPr>
      <w:r>
        <w:rPr>
          <w:rFonts w:hint="eastAsia" w:eastAsia="仿宋_GB2312"/>
          <w:b w:val="0"/>
          <w:bCs w:val="0"/>
          <w:color w:val="000000"/>
          <w:sz w:val="32"/>
          <w:szCs w:val="32"/>
          <w:lang w:val="en-US" w:eastAsia="zh-CN"/>
        </w:rPr>
        <w:t>海事部门依法对出入境船舶进行监管。</w:t>
      </w:r>
    </w:p>
    <w:p>
      <w:pPr>
        <w:keepNext w:val="0"/>
        <w:keepLines w:val="0"/>
        <w:pageBreakBefore w:val="0"/>
        <w:widowControl/>
        <w:suppressLineNumbers w:val="0"/>
        <w:kinsoku/>
        <w:wordWrap/>
        <w:overflowPunct/>
        <w:topLinePunct w:val="0"/>
        <w:autoSpaceDE/>
        <w:autoSpaceDN/>
        <w:bidi w:val="0"/>
        <w:spacing w:line="560" w:lineRule="exact"/>
        <w:ind w:firstLine="643" w:firstLineChars="200"/>
        <w:jc w:val="left"/>
        <w:textAlignment w:val="auto"/>
        <w:outlineLvl w:val="0"/>
        <w:rPr>
          <w:rFonts w:hint="eastAsia" w:ascii="楷体_GB2312" w:hAnsi="楷体_GB2312" w:eastAsia="楷体_GB2312" w:cs="楷体_GB2312"/>
          <w:b/>
          <w:bCs/>
          <w:color w:val="auto"/>
          <w:kern w:val="0"/>
          <w:sz w:val="32"/>
          <w:szCs w:val="28"/>
          <w:lang w:val="en-US" w:eastAsia="zh-CN" w:bidi="ar-SA"/>
        </w:rPr>
      </w:pPr>
      <w:r>
        <w:rPr>
          <w:rFonts w:hint="eastAsia" w:ascii="楷体_GB2312" w:hAnsi="楷体_GB2312" w:eastAsia="楷体_GB2312" w:cs="楷体_GB2312"/>
          <w:b/>
          <w:bCs/>
          <w:color w:val="auto"/>
          <w:kern w:val="0"/>
          <w:sz w:val="32"/>
          <w:szCs w:val="28"/>
          <w:lang w:val="en-US" w:eastAsia="zh-CN" w:bidi="ar-SA"/>
        </w:rPr>
        <w:t>第九条</w:t>
      </w:r>
      <w:bookmarkEnd w:id="26"/>
      <w:bookmarkEnd w:id="27"/>
      <w:bookmarkEnd w:id="28"/>
      <w:r>
        <w:rPr>
          <w:rFonts w:hint="eastAsia" w:ascii="楷体_GB2312" w:hAnsi="楷体_GB2312" w:eastAsia="楷体_GB2312" w:cs="楷体_GB2312"/>
          <w:b/>
          <w:bCs/>
          <w:color w:val="auto"/>
          <w:kern w:val="0"/>
          <w:sz w:val="32"/>
          <w:szCs w:val="28"/>
          <w:lang w:val="en-US" w:eastAsia="zh-CN" w:bidi="ar-SA"/>
        </w:rPr>
        <w:t>（通关保障）</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仿宋_GB2312" w:cstheme="minorBidi"/>
          <w:color w:val="auto"/>
          <w:kern w:val="0"/>
          <w:sz w:val="32"/>
          <w:szCs w:val="28"/>
          <w:lang w:val="en-US" w:eastAsia="zh-CN" w:bidi="ar-SA"/>
        </w:rPr>
      </w:pPr>
      <w:r>
        <w:rPr>
          <w:rFonts w:hint="eastAsia" w:ascii="Times New Roman" w:hAnsi="Times New Roman" w:eastAsia="仿宋_GB2312" w:cstheme="minorBidi"/>
          <w:color w:val="auto"/>
          <w:kern w:val="0"/>
          <w:sz w:val="32"/>
          <w:szCs w:val="28"/>
          <w:lang w:val="en-US" w:eastAsia="zh-CN" w:bidi="ar-SA"/>
        </w:rPr>
        <w:t>市口岸主管部门牵头，海关、边检、海事等查验单位支持，建立常态化通关保障机制，为客运码头邮轮以及港澳线客运船舶提供便利通关保障。</w:t>
      </w:r>
    </w:p>
    <w:p>
      <w:pPr>
        <w:keepNext w:val="0"/>
        <w:keepLines w:val="0"/>
        <w:pageBreakBefore w:val="0"/>
        <w:widowControl/>
        <w:suppressLineNumbers w:val="0"/>
        <w:kinsoku/>
        <w:wordWrap/>
        <w:overflowPunct/>
        <w:topLinePunct w:val="0"/>
        <w:autoSpaceDE/>
        <w:autoSpaceDN/>
        <w:bidi w:val="0"/>
        <w:spacing w:line="560" w:lineRule="exact"/>
        <w:ind w:firstLine="643" w:firstLineChars="200"/>
        <w:jc w:val="left"/>
        <w:textAlignment w:val="auto"/>
        <w:outlineLvl w:val="0"/>
        <w:rPr>
          <w:rFonts w:hint="eastAsia" w:ascii="楷体_GB2312" w:hAnsi="楷体_GB2312" w:eastAsia="楷体_GB2312" w:cs="楷体_GB2312"/>
          <w:b/>
          <w:bCs/>
          <w:color w:val="auto"/>
          <w:kern w:val="0"/>
          <w:sz w:val="32"/>
          <w:szCs w:val="28"/>
          <w:lang w:val="en-US" w:eastAsia="zh-CN" w:bidi="ar-SA"/>
        </w:rPr>
      </w:pPr>
      <w:bookmarkStart w:id="29" w:name="_Toc4659"/>
      <w:bookmarkStart w:id="30" w:name="_Toc13885"/>
      <w:bookmarkStart w:id="31" w:name="_Toc23619"/>
      <w:r>
        <w:rPr>
          <w:rFonts w:hint="eastAsia" w:ascii="楷体_GB2312" w:hAnsi="楷体_GB2312" w:eastAsia="楷体_GB2312" w:cs="楷体_GB2312"/>
          <w:b/>
          <w:bCs/>
          <w:color w:val="auto"/>
          <w:kern w:val="0"/>
          <w:sz w:val="32"/>
          <w:szCs w:val="28"/>
          <w:lang w:val="en-US" w:eastAsia="zh-CN" w:bidi="ar-SA"/>
        </w:rPr>
        <w:t>第十条</w:t>
      </w:r>
      <w:bookmarkEnd w:id="29"/>
      <w:bookmarkEnd w:id="30"/>
      <w:bookmarkEnd w:id="31"/>
      <w:r>
        <w:rPr>
          <w:rFonts w:hint="eastAsia" w:ascii="楷体_GB2312" w:hAnsi="楷体_GB2312" w:eastAsia="楷体_GB2312" w:cs="楷体_GB2312"/>
          <w:b/>
          <w:bCs/>
          <w:color w:val="auto"/>
          <w:kern w:val="0"/>
          <w:sz w:val="32"/>
          <w:szCs w:val="28"/>
          <w:lang w:val="en-US" w:eastAsia="zh-CN" w:bidi="ar-SA"/>
        </w:rPr>
        <w:t>（旅客信息报送）</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仿宋_GB2312" w:cstheme="minorBidi"/>
          <w:color w:val="auto"/>
          <w:kern w:val="0"/>
          <w:sz w:val="32"/>
          <w:szCs w:val="28"/>
          <w:lang w:val="en-US" w:eastAsia="zh-CN" w:bidi="ar-SA"/>
        </w:rPr>
      </w:pPr>
      <w:r>
        <w:rPr>
          <w:rFonts w:hint="eastAsia" w:ascii="Times New Roman" w:hAnsi="Times New Roman" w:eastAsia="仿宋_GB2312" w:cstheme="minorBidi"/>
          <w:color w:val="auto"/>
          <w:kern w:val="0"/>
          <w:sz w:val="32"/>
          <w:szCs w:val="28"/>
          <w:lang w:val="en-US" w:eastAsia="zh-CN" w:bidi="ar-SA"/>
        </w:rPr>
        <w:t>客运码头经营单位应按照相关主管部门要求建立国际中转旅客信息提前报送机制。客运船舶和邮轮公司按照口岸查验单位、交通主管部门以及其他相关政府主管部门的要求，在船舶开航前或到港前报送中转旅客名单。</w:t>
      </w:r>
    </w:p>
    <w:p>
      <w:pPr>
        <w:keepNext w:val="0"/>
        <w:keepLines w:val="0"/>
        <w:pageBreakBefore w:val="0"/>
        <w:widowControl/>
        <w:suppressLineNumbers w:val="0"/>
        <w:kinsoku/>
        <w:wordWrap/>
        <w:overflowPunct/>
        <w:topLinePunct w:val="0"/>
        <w:autoSpaceDE/>
        <w:autoSpaceDN/>
        <w:bidi w:val="0"/>
        <w:spacing w:line="560" w:lineRule="exact"/>
        <w:ind w:firstLine="643" w:firstLineChars="200"/>
        <w:jc w:val="left"/>
        <w:textAlignment w:val="auto"/>
        <w:outlineLvl w:val="0"/>
        <w:rPr>
          <w:rFonts w:hint="eastAsia" w:ascii="楷体_GB2312" w:hAnsi="楷体_GB2312" w:eastAsia="楷体_GB2312" w:cs="楷体_GB2312"/>
          <w:b/>
          <w:bCs/>
          <w:color w:val="auto"/>
          <w:kern w:val="0"/>
          <w:sz w:val="32"/>
          <w:szCs w:val="28"/>
          <w:lang w:val="en-US" w:eastAsia="zh-CN" w:bidi="ar-SA"/>
        </w:rPr>
      </w:pPr>
      <w:bookmarkStart w:id="32" w:name="_Toc3688"/>
      <w:bookmarkStart w:id="33" w:name="_Toc7017"/>
      <w:bookmarkStart w:id="34" w:name="_Toc21850"/>
      <w:r>
        <w:rPr>
          <w:rFonts w:hint="eastAsia" w:ascii="楷体_GB2312" w:hAnsi="楷体_GB2312" w:eastAsia="楷体_GB2312" w:cs="楷体_GB2312"/>
          <w:b/>
          <w:bCs/>
          <w:color w:val="auto"/>
          <w:kern w:val="0"/>
          <w:sz w:val="32"/>
          <w:szCs w:val="28"/>
          <w:lang w:val="en-US" w:eastAsia="zh-CN" w:bidi="ar-SA"/>
        </w:rPr>
        <w:t>第十一条</w:t>
      </w:r>
      <w:bookmarkEnd w:id="32"/>
      <w:bookmarkEnd w:id="33"/>
      <w:bookmarkEnd w:id="34"/>
      <w:r>
        <w:rPr>
          <w:rFonts w:hint="eastAsia" w:ascii="楷体_GB2312" w:hAnsi="楷体_GB2312" w:eastAsia="楷体_GB2312" w:cs="楷体_GB2312"/>
          <w:b/>
          <w:bCs/>
          <w:color w:val="auto"/>
          <w:kern w:val="0"/>
          <w:sz w:val="32"/>
          <w:szCs w:val="28"/>
          <w:lang w:val="en-US" w:eastAsia="zh-CN" w:bidi="ar-SA"/>
        </w:rPr>
        <w:t>（应急预案和演练）</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outlineLvl w:val="0"/>
        <w:rPr>
          <w:rFonts w:hint="eastAsia" w:ascii="Times New Roman" w:hAnsi="Times New Roman" w:eastAsia="仿宋_GB2312" w:cstheme="minorBidi"/>
          <w:color w:val="auto"/>
          <w:kern w:val="0"/>
          <w:sz w:val="32"/>
          <w:szCs w:val="28"/>
          <w:lang w:val="en-US" w:eastAsia="zh-CN" w:bidi="ar-SA"/>
        </w:rPr>
      </w:pPr>
      <w:r>
        <w:rPr>
          <w:rFonts w:hint="eastAsia" w:ascii="Times New Roman" w:hAnsi="Times New Roman" w:eastAsia="仿宋_GB2312" w:cstheme="minorBidi"/>
          <w:color w:val="auto"/>
          <w:kern w:val="0"/>
          <w:sz w:val="32"/>
          <w:szCs w:val="28"/>
          <w:lang w:val="en-US" w:eastAsia="zh-CN" w:bidi="ar-SA"/>
        </w:rPr>
        <w:t>客运码头经营单位应对旅客国际中转区安全生产管理制定生产安全事故、预防自然灾害、公共卫生事件和社会安全等应急预案，并定期组织演练。应急预案应当报海事部门备案。</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仿宋_GB2312" w:cstheme="minorBidi"/>
          <w:color w:val="auto"/>
          <w:kern w:val="0"/>
          <w:sz w:val="32"/>
          <w:szCs w:val="28"/>
          <w:lang w:val="en-US" w:eastAsia="zh-CN" w:bidi="ar-SA"/>
        </w:rPr>
      </w:pPr>
    </w:p>
    <w:p>
      <w:pPr>
        <w:keepNext w:val="0"/>
        <w:keepLines w:val="0"/>
        <w:pageBreakBefore w:val="0"/>
        <w:widowControl/>
        <w:suppressLineNumbers w:val="0"/>
        <w:kinsoku/>
        <w:wordWrap/>
        <w:overflowPunct/>
        <w:topLinePunct w:val="0"/>
        <w:autoSpaceDE/>
        <w:autoSpaceDN/>
        <w:bidi w:val="0"/>
        <w:spacing w:line="560" w:lineRule="exact"/>
        <w:ind w:firstLine="643" w:firstLineChars="200"/>
        <w:jc w:val="left"/>
        <w:textAlignment w:val="auto"/>
        <w:outlineLvl w:val="0"/>
      </w:pPr>
      <w:bookmarkStart w:id="35" w:name="_Toc3922"/>
      <w:bookmarkStart w:id="36" w:name="_Toc10625"/>
      <w:bookmarkStart w:id="37" w:name="_Toc30049"/>
      <w:r>
        <w:rPr>
          <w:rFonts w:hint="eastAsia" w:ascii="楷体_GB2312" w:hAnsi="楷体_GB2312" w:eastAsia="楷体_GB2312" w:cs="楷体_GB2312"/>
          <w:b/>
          <w:bCs/>
          <w:color w:val="auto"/>
          <w:kern w:val="0"/>
          <w:sz w:val="32"/>
          <w:szCs w:val="28"/>
          <w:lang w:val="en-US" w:eastAsia="zh-CN" w:bidi="ar-SA"/>
        </w:rPr>
        <w:t>第十二条</w:t>
      </w:r>
      <w:bookmarkEnd w:id="35"/>
      <w:bookmarkEnd w:id="36"/>
      <w:bookmarkEnd w:id="37"/>
      <w:r>
        <w:rPr>
          <w:rFonts w:hint="eastAsia" w:ascii="楷体_GB2312" w:hAnsi="楷体_GB2312" w:eastAsia="楷体_GB2312" w:cs="楷体_GB2312"/>
          <w:b/>
          <w:bCs/>
          <w:color w:val="auto"/>
          <w:kern w:val="0"/>
          <w:sz w:val="32"/>
          <w:szCs w:val="28"/>
          <w:lang w:val="en-US" w:eastAsia="zh-CN" w:bidi="ar-SA"/>
        </w:rPr>
        <w:t>（日常经营管理）</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仿宋_GB2312" w:cstheme="minorBidi"/>
          <w:color w:val="auto"/>
          <w:kern w:val="0"/>
          <w:sz w:val="32"/>
          <w:szCs w:val="28"/>
          <w:lang w:val="en-US" w:eastAsia="zh-CN" w:bidi="ar-SA"/>
        </w:rPr>
      </w:pPr>
      <w:r>
        <w:rPr>
          <w:rFonts w:hint="eastAsia" w:ascii="Times New Roman" w:hAnsi="Times New Roman" w:eastAsia="仿宋_GB2312" w:cstheme="minorBidi"/>
          <w:color w:val="auto"/>
          <w:kern w:val="0"/>
          <w:sz w:val="32"/>
          <w:szCs w:val="28"/>
          <w:lang w:val="en-US" w:eastAsia="zh-CN" w:bidi="ar-SA"/>
        </w:rPr>
        <w:t>客运码头经营单位、旅客国际中转业务经营单位以及客运船舶、邮轮公司应加强行业自律，依法诚信经营。如发生违法违规经营的情形，市口岸主管部门有权作出暂停客运码头旅客国际中转区运作的处置决定。</w:t>
      </w:r>
      <w:bookmarkStart w:id="38" w:name="_Toc5529"/>
      <w:bookmarkStart w:id="39" w:name="_Toc16381"/>
      <w:bookmarkStart w:id="40" w:name="_Toc30000"/>
    </w:p>
    <w:p>
      <w:pPr>
        <w:keepNext w:val="0"/>
        <w:keepLines w:val="0"/>
        <w:pageBreakBefore w:val="0"/>
        <w:widowControl/>
        <w:suppressLineNumbers w:val="0"/>
        <w:kinsoku/>
        <w:wordWrap/>
        <w:overflowPunct/>
        <w:topLinePunct w:val="0"/>
        <w:autoSpaceDE/>
        <w:autoSpaceDN/>
        <w:bidi w:val="0"/>
        <w:spacing w:line="560" w:lineRule="exact"/>
        <w:ind w:firstLine="643" w:firstLineChars="200"/>
        <w:jc w:val="left"/>
        <w:textAlignment w:val="auto"/>
        <w:rPr>
          <w:rFonts w:hint="eastAsia" w:ascii="楷体_GB2312" w:hAnsi="楷体_GB2312" w:eastAsia="楷体_GB2312" w:cs="楷体_GB2312"/>
          <w:b/>
          <w:bCs/>
          <w:color w:val="auto"/>
          <w:kern w:val="0"/>
          <w:sz w:val="32"/>
          <w:szCs w:val="28"/>
          <w:lang w:val="en-US" w:eastAsia="zh-CN" w:bidi="ar-SA"/>
        </w:rPr>
      </w:pPr>
      <w:r>
        <w:rPr>
          <w:rFonts w:hint="eastAsia" w:ascii="楷体_GB2312" w:hAnsi="楷体_GB2312" w:eastAsia="楷体_GB2312" w:cs="楷体_GB2312"/>
          <w:b/>
          <w:bCs/>
          <w:color w:val="auto"/>
          <w:kern w:val="0"/>
          <w:sz w:val="32"/>
          <w:szCs w:val="28"/>
          <w:lang w:val="en-US" w:eastAsia="zh-CN" w:bidi="ar-SA"/>
        </w:rPr>
        <w:t>第十三条</w:t>
      </w:r>
      <w:bookmarkEnd w:id="38"/>
      <w:bookmarkEnd w:id="39"/>
      <w:bookmarkEnd w:id="40"/>
      <w:r>
        <w:rPr>
          <w:rFonts w:hint="eastAsia" w:ascii="楷体_GB2312" w:hAnsi="楷体_GB2312" w:eastAsia="楷体_GB2312" w:cs="楷体_GB2312"/>
          <w:b/>
          <w:bCs/>
          <w:color w:val="auto"/>
          <w:kern w:val="0"/>
          <w:sz w:val="32"/>
          <w:szCs w:val="28"/>
          <w:lang w:val="en-US" w:eastAsia="zh-CN" w:bidi="ar-SA"/>
        </w:rPr>
        <w:t>（口岸区域管理）</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仿宋_GB2312" w:cstheme="minorBidi"/>
          <w:color w:val="auto"/>
          <w:kern w:val="0"/>
          <w:sz w:val="32"/>
          <w:szCs w:val="28"/>
          <w:lang w:val="en-US" w:eastAsia="zh-CN" w:bidi="ar-SA"/>
        </w:rPr>
      </w:pPr>
      <w:r>
        <w:rPr>
          <w:rFonts w:hint="eastAsia" w:ascii="Times New Roman" w:hAnsi="Times New Roman" w:eastAsia="仿宋_GB2312" w:cstheme="minorBidi"/>
          <w:color w:val="auto"/>
          <w:kern w:val="0"/>
          <w:sz w:val="32"/>
          <w:szCs w:val="28"/>
          <w:lang w:val="en-US" w:eastAsia="zh-CN" w:bidi="ar-SA"/>
        </w:rPr>
        <w:t>客运码头旅客国际中转区域应符合口岸限定区的封闭管理要求，区域内通关、治安和卫生检疫管理要求按照有关法律规定执行。</w:t>
      </w:r>
    </w:p>
    <w:p>
      <w:pPr>
        <w:keepNext w:val="0"/>
        <w:keepLines w:val="0"/>
        <w:pageBreakBefore w:val="0"/>
        <w:widowControl/>
        <w:suppressLineNumbers w:val="0"/>
        <w:kinsoku/>
        <w:wordWrap/>
        <w:overflowPunct/>
        <w:topLinePunct w:val="0"/>
        <w:autoSpaceDE/>
        <w:autoSpaceDN/>
        <w:bidi w:val="0"/>
        <w:spacing w:line="560" w:lineRule="exact"/>
        <w:ind w:firstLine="643" w:firstLineChars="200"/>
        <w:jc w:val="left"/>
        <w:textAlignment w:val="auto"/>
      </w:pPr>
      <w:r>
        <w:rPr>
          <w:rFonts w:hint="eastAsia" w:ascii="楷体_GB2312" w:hAnsi="楷体_GB2312" w:eastAsia="楷体_GB2312" w:cs="楷体_GB2312"/>
          <w:b/>
          <w:bCs/>
          <w:color w:val="auto"/>
          <w:kern w:val="0"/>
          <w:sz w:val="32"/>
          <w:szCs w:val="28"/>
          <w:lang w:val="en-US" w:eastAsia="zh-CN" w:bidi="ar-SA"/>
        </w:rPr>
        <w:t xml:space="preserve">第十四条 </w:t>
      </w:r>
      <w:bookmarkStart w:id="41" w:name="_Toc25785"/>
      <w:bookmarkStart w:id="42" w:name="_Toc15797"/>
      <w:bookmarkStart w:id="43" w:name="_Toc26218"/>
      <w:r>
        <w:rPr>
          <w:rFonts w:hint="eastAsia" w:ascii="仿宋" w:hAnsi="仿宋" w:eastAsia="仿宋" w:cs="仿宋"/>
          <w:b/>
          <w:bCs/>
          <w:color w:val="000000"/>
          <w:kern w:val="0"/>
          <w:sz w:val="31"/>
          <w:szCs w:val="31"/>
          <w:lang w:val="en-US" w:eastAsia="zh-CN" w:bidi="ar"/>
        </w:rPr>
        <w:t>（文件解释）</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pPr>
      <w:r>
        <w:rPr>
          <w:rFonts w:hint="eastAsia" w:ascii="Times New Roman" w:hAnsi="Times New Roman" w:eastAsia="仿宋_GB2312" w:cstheme="minorBidi"/>
          <w:color w:val="auto"/>
          <w:kern w:val="0"/>
          <w:sz w:val="32"/>
          <w:szCs w:val="28"/>
          <w:lang w:val="en-US" w:eastAsia="zh-CN" w:bidi="ar-SA"/>
        </w:rPr>
        <w:t>本办法由市口岸主管部门、港航主管部门会同海关、边检、海事等口岸查验单位等部门负责解释。</w:t>
      </w:r>
    </w:p>
    <w:bookmarkEnd w:id="41"/>
    <w:bookmarkEnd w:id="42"/>
    <w:bookmarkEnd w:id="43"/>
    <w:p>
      <w:pPr>
        <w:keepNext w:val="0"/>
        <w:keepLines w:val="0"/>
        <w:pageBreakBefore w:val="0"/>
        <w:widowControl/>
        <w:suppressLineNumbers w:val="0"/>
        <w:kinsoku/>
        <w:wordWrap/>
        <w:overflowPunct/>
        <w:topLinePunct w:val="0"/>
        <w:autoSpaceDE/>
        <w:autoSpaceDN/>
        <w:bidi w:val="0"/>
        <w:spacing w:line="560" w:lineRule="exact"/>
        <w:ind w:firstLine="643" w:firstLineChars="200"/>
        <w:jc w:val="left"/>
        <w:textAlignment w:val="auto"/>
      </w:pPr>
      <w:r>
        <w:rPr>
          <w:rFonts w:hint="eastAsia" w:ascii="楷体_GB2312" w:hAnsi="楷体_GB2312" w:eastAsia="楷体_GB2312" w:cs="楷体_GB2312"/>
          <w:b/>
          <w:bCs/>
          <w:color w:val="auto"/>
          <w:kern w:val="0"/>
          <w:sz w:val="32"/>
          <w:szCs w:val="28"/>
          <w:lang w:val="en-US" w:eastAsia="zh-CN" w:bidi="ar-SA"/>
        </w:rPr>
        <w:t>第十五条</w:t>
      </w:r>
      <w:r>
        <w:rPr>
          <w:rFonts w:ascii="仿宋" w:hAnsi="仿宋" w:eastAsia="仿宋" w:cs="仿宋"/>
          <w:b/>
          <w:bCs/>
          <w:color w:val="000000"/>
          <w:kern w:val="0"/>
          <w:sz w:val="31"/>
          <w:szCs w:val="31"/>
          <w:lang w:val="en-US" w:eastAsia="zh-CN" w:bidi="ar"/>
        </w:rPr>
        <w:t xml:space="preserve"> </w:t>
      </w:r>
      <w:r>
        <w:rPr>
          <w:rFonts w:hint="eastAsia" w:ascii="仿宋" w:hAnsi="仿宋" w:eastAsia="仿宋" w:cs="仿宋"/>
          <w:b/>
          <w:bCs/>
          <w:color w:val="000000"/>
          <w:kern w:val="0"/>
          <w:sz w:val="31"/>
          <w:szCs w:val="31"/>
          <w:lang w:val="en-US" w:eastAsia="zh-CN" w:bidi="ar"/>
        </w:rPr>
        <w:t>（实施时间）</w:t>
      </w:r>
    </w:p>
    <w:p>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Times New Roman" w:hAnsi="Times New Roman" w:eastAsia="仿宋_GB2312" w:cstheme="minorBidi"/>
          <w:color w:val="auto"/>
          <w:kern w:val="0"/>
          <w:sz w:val="32"/>
          <w:szCs w:val="28"/>
          <w:lang w:val="en-US" w:eastAsia="zh-CN" w:bidi="ar-SA"/>
        </w:rPr>
      </w:pPr>
      <w:r>
        <w:rPr>
          <w:rFonts w:hint="eastAsia" w:ascii="Times New Roman" w:hAnsi="Times New Roman" w:eastAsia="仿宋_GB2312" w:cstheme="minorBidi"/>
          <w:color w:val="auto"/>
          <w:kern w:val="0"/>
          <w:sz w:val="32"/>
          <w:szCs w:val="28"/>
          <w:lang w:val="en-US" w:eastAsia="zh-CN" w:bidi="ar-SA"/>
        </w:rPr>
        <w:t xml:space="preserve">本办法自颁发之日起施行，有效期至   </w:t>
      </w:r>
      <w:r>
        <w:rPr>
          <w:rFonts w:hint="eastAsia" w:ascii="仿宋_GB2312" w:hAnsi="仿宋_GB2312" w:eastAsia="仿宋_GB2312" w:cs="仿宋_GB2312"/>
          <w:color w:val="auto"/>
          <w:kern w:val="0"/>
          <w:sz w:val="32"/>
          <w:szCs w:val="28"/>
          <w:lang w:val="en-US" w:eastAsia="zh-CN" w:bidi="ar-SA"/>
        </w:rPr>
        <w:t xml:space="preserve">年  月  </w:t>
      </w:r>
      <w:r>
        <w:rPr>
          <w:rFonts w:hint="eastAsia" w:ascii="Times New Roman" w:hAnsi="Times New Roman" w:eastAsia="仿宋_GB2312" w:cstheme="minorBidi"/>
          <w:color w:val="auto"/>
          <w:kern w:val="0"/>
          <w:sz w:val="32"/>
          <w:szCs w:val="28"/>
          <w:lang w:val="en-US" w:eastAsia="zh-CN" w:bidi="ar-SA"/>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2E2AAEC-08CD-47D3-9368-A6427AE165B6}"/>
  </w:font>
  <w:font w:name="Arial">
    <w:panose1 w:val="020B0604020202020204"/>
    <w:charset w:val="01"/>
    <w:family w:val="swiss"/>
    <w:pitch w:val="default"/>
    <w:sig w:usb0="E0002AFF" w:usb1="C0007843" w:usb2="00000009" w:usb3="00000000" w:csb0="400001FF" w:csb1="FFFF0000"/>
    <w:embedRegular r:id="rId2" w:fontKey="{F49B1E5A-419B-408B-A702-F962A3E66A3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22F99A3-54C0-4057-B324-43FCFD7EB9F5}"/>
  </w:font>
  <w:font w:name="Symbol">
    <w:panose1 w:val="05050102010706020507"/>
    <w:charset w:val="02"/>
    <w:family w:val="roman"/>
    <w:pitch w:val="default"/>
    <w:sig w:usb0="00000000" w:usb1="00000000" w:usb2="00000000" w:usb3="00000000" w:csb0="80000000" w:csb1="00000000"/>
    <w:embedRegular r:id="rId4" w:fontKey="{578E6382-F2BA-4C56-AC10-80EDF35282AD}"/>
  </w:font>
  <w:font w:name="Calibri">
    <w:panose1 w:val="020F0502020204030204"/>
    <w:charset w:val="00"/>
    <w:family w:val="swiss"/>
    <w:pitch w:val="default"/>
    <w:sig w:usb0="E00002FF" w:usb1="4000ACFF" w:usb2="00000001" w:usb3="00000000" w:csb0="2000019F" w:csb1="00000000"/>
    <w:embedRegular r:id="rId5" w:fontKey="{5E906069-CD67-4F24-AA41-811B2BEF9C76}"/>
  </w:font>
  <w:font w:name="方正小标宋_GBK">
    <w:panose1 w:val="03000509000000000000"/>
    <w:charset w:val="86"/>
    <w:family w:val="auto"/>
    <w:pitch w:val="default"/>
    <w:sig w:usb0="00000001" w:usb1="080E0000" w:usb2="00000000" w:usb3="00000000" w:csb0="00040000" w:csb1="00000000"/>
    <w:embedRegular r:id="rId6" w:fontKey="{E2398FCD-6474-482B-813F-B73AEBA68B53}"/>
  </w:font>
  <w:font w:name="仿宋">
    <w:panose1 w:val="02010609060101010101"/>
    <w:charset w:val="86"/>
    <w:family w:val="auto"/>
    <w:pitch w:val="default"/>
    <w:sig w:usb0="800002BF" w:usb1="38CF7CFA" w:usb2="00000016" w:usb3="00000000" w:csb0="00040001" w:csb1="00000000"/>
    <w:embedRegular r:id="rId7" w:fontKey="{92C2E2E8-11DC-4FBD-8C10-5E265E7997AF}"/>
  </w:font>
  <w:font w:name="仿宋_GB2312">
    <w:panose1 w:val="02010609030101010101"/>
    <w:charset w:val="86"/>
    <w:family w:val="auto"/>
    <w:pitch w:val="default"/>
    <w:sig w:usb0="00000001" w:usb1="080E0000" w:usb2="00000000" w:usb3="00000000" w:csb0="00040000" w:csb1="00000000"/>
    <w:embedRegular r:id="rId8" w:fontKey="{42970F86-9905-4AC0-A424-E16E9A970101}"/>
  </w:font>
  <w:font w:name="楷体_GB2312">
    <w:panose1 w:val="02010609030101010101"/>
    <w:charset w:val="86"/>
    <w:family w:val="auto"/>
    <w:pitch w:val="default"/>
    <w:sig w:usb0="00000001" w:usb1="080E0000" w:usb2="00000000" w:usb3="00000000" w:csb0="00040000" w:csb1="00000000"/>
    <w:embedRegular r:id="rId9" w:fontKey="{28B79094-27CB-4329-8BAA-619387C8CA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mMTczZTEyMGM1NGJmYWZmNDhjODk3YjI2YzNlNzQifQ=="/>
  </w:docVars>
  <w:rsids>
    <w:rsidRoot w:val="230F35F0"/>
    <w:rsid w:val="01FB2325"/>
    <w:rsid w:val="0A5B17E6"/>
    <w:rsid w:val="0BB605B6"/>
    <w:rsid w:val="0F1A3365"/>
    <w:rsid w:val="1F504F91"/>
    <w:rsid w:val="230F35F0"/>
    <w:rsid w:val="249C0514"/>
    <w:rsid w:val="28A0361E"/>
    <w:rsid w:val="2CAD41FA"/>
    <w:rsid w:val="3523381B"/>
    <w:rsid w:val="36A71C2F"/>
    <w:rsid w:val="37475119"/>
    <w:rsid w:val="44E143F3"/>
    <w:rsid w:val="521C4CA6"/>
    <w:rsid w:val="57F66718"/>
    <w:rsid w:val="5B06509E"/>
    <w:rsid w:val="5FFA464E"/>
    <w:rsid w:val="607563DA"/>
    <w:rsid w:val="672A57D6"/>
    <w:rsid w:val="6CD408DA"/>
    <w:rsid w:val="6DF2736B"/>
    <w:rsid w:val="6EF815C4"/>
    <w:rsid w:val="73667A20"/>
    <w:rsid w:val="74C67138"/>
    <w:rsid w:val="7873289F"/>
    <w:rsid w:val="7C7BAB5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Emphasis"/>
    <w:basedOn w:val="4"/>
    <w:qFormat/>
    <w:uiPriority w:val="0"/>
    <w:rPr>
      <w:i/>
    </w:rPr>
  </w:style>
  <w:style w:type="paragraph" w:customStyle="1" w:styleId="6">
    <w:name w:val="普通(网站)1"/>
    <w:basedOn w:val="1"/>
    <w:qFormat/>
    <w:uiPriority w:val="0"/>
    <w:pPr>
      <w:widowControl/>
      <w:spacing w:before="100" w:beforeAutospacing="1" w:after="100" w:afterAutospacing="1"/>
      <w:jc w:val="left"/>
    </w:pPr>
    <w:rPr>
      <w:rFonts w:ascii="宋体" w:hAnsi="宋体"/>
      <w:color w:val="000000"/>
      <w:kern w:val="0"/>
      <w:sz w:val="24"/>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Pages>
  <Words>1559</Words>
  <Characters>1559</Characters>
  <Lines>0</Lines>
  <Paragraphs>0</Paragraphs>
  <TotalTime>6</TotalTime>
  <ScaleCrop>false</ScaleCrop>
  <LinksUpToDate>false</LinksUpToDate>
  <CharactersWithSpaces>1570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2021-07-13T23:45:00Z</dcterms:created>
  <dc:creator>YC</dc:creator>
  <cp:lastModifiedBy>zhujf</cp:lastModifiedBy>
  <cp:lastPrinted>2021-07-14T10:29:00Z</cp:lastPrinted>
  <dcterms:modified xsi:type="dcterms:W3CDTF">2023-06-06T01:40:03Z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D1B4A84CEA1D4F52B0AC6252141E3817</vt:lpwstr>
  </property>
  <property fmtid="{D5CDD505-2E9C-101B-9397-08002B2CF9AE}" pid="4" name="KSOSaveFontToCloudKey">
    <vt:lpwstr>446384040_embed</vt:lpwstr>
  </property>
</Properties>
</file>