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spacing w:before="454" w:beforeAutospacing="0" w:after="454" w:afterAutospacing="0"/>
        <w:ind w:left="454" w:right="454"/>
        <w:jc w:val="center"/>
        <w:outlineLvl w:val="0"/>
        <w:rPr>
          <w:b/>
          <w:bCs/>
          <w:sz w:val="40"/>
          <w:szCs w:val="40"/>
        </w:rPr>
      </w:pPr>
      <w:bookmarkStart w:id="0" w:name="_Hlk71456902"/>
      <w:r>
        <w:rPr>
          <w:rFonts w:hint="eastAsia"/>
          <w:b/>
          <w:bCs/>
          <w:kern w:val="0"/>
          <w:sz w:val="40"/>
          <w:szCs w:val="40"/>
        </w:rPr>
        <w:t>深圳市人民政府口岸办公室深圳智慧口岸建设工程项目</w:t>
      </w:r>
    </w:p>
    <w:p>
      <w:pPr>
        <w:pStyle w:val="38"/>
        <w:widowControl/>
        <w:jc w:val="center"/>
        <w:outlineLvl w:val="1"/>
        <w:rPr>
          <w:rFonts w:ascii="黑体" w:hAnsi="宋体" w:eastAsia="黑体" w:cs="黑体"/>
          <w:sz w:val="40"/>
          <w:szCs w:val="40"/>
        </w:rPr>
      </w:pPr>
      <w:r>
        <w:rPr>
          <w:rFonts w:hint="eastAsia" w:ascii="黑体" w:hAnsi="宋体" w:eastAsia="黑体" w:cs="黑体"/>
          <w:sz w:val="40"/>
          <w:szCs w:val="40"/>
        </w:rPr>
        <w:t>招标文件信息</w:t>
      </w:r>
    </w:p>
    <w:tbl>
      <w:tblPr>
        <w:tblStyle w:val="43"/>
        <w:tblW w:w="7943" w:type="dxa"/>
        <w:jc w:val="center"/>
        <w:tblCellSpacing w:w="0" w:type="dxa"/>
        <w:tblLayout w:type="autofit"/>
        <w:tblCellMar>
          <w:top w:w="45" w:type="dxa"/>
          <w:left w:w="45" w:type="dxa"/>
          <w:bottom w:w="45" w:type="dxa"/>
          <w:right w:w="45" w:type="dxa"/>
        </w:tblCellMar>
      </w:tblPr>
      <w:tblGrid>
        <w:gridCol w:w="2723"/>
        <w:gridCol w:w="5220"/>
      </w:tblGrid>
      <w:tr>
        <w:tblPrEx>
          <w:tblCellMar>
            <w:top w:w="45" w:type="dxa"/>
            <w:left w:w="45" w:type="dxa"/>
            <w:bottom w:w="45" w:type="dxa"/>
            <w:right w:w="45" w:type="dxa"/>
          </w:tblCellMar>
        </w:tblPrEx>
        <w:trPr>
          <w:trHeight w:val="738" w:hRule="atLeast"/>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项目编号：</w:t>
            </w:r>
          </w:p>
        </w:tc>
        <w:tc>
          <w:tcPr>
            <w:tcW w:w="0" w:type="auto"/>
            <w:shd w:val="clear" w:color="auto" w:fill="auto"/>
            <w:vAlign w:val="center"/>
          </w:tcPr>
          <w:p>
            <w:pPr>
              <w:widowControl/>
              <w:jc w:val="left"/>
              <w:rPr>
                <w:sz w:val="30"/>
                <w:szCs w:val="30"/>
              </w:rPr>
            </w:pPr>
            <w:r>
              <w:rPr>
                <w:rFonts w:hint="default"/>
                <w:sz w:val="30"/>
                <w:szCs w:val="30"/>
                <w:lang w:val="en-US" w:eastAsia="zh-CN"/>
              </w:rPr>
              <w:t>SZCG2024000225</w:t>
            </w:r>
          </w:p>
        </w:tc>
      </w:tr>
      <w:tr>
        <w:tblPrEx>
          <w:tblCellMar>
            <w:top w:w="45" w:type="dxa"/>
            <w:left w:w="45" w:type="dxa"/>
            <w:bottom w:w="45" w:type="dxa"/>
            <w:right w:w="45" w:type="dxa"/>
          </w:tblCellMar>
        </w:tblPrEx>
        <w:trPr>
          <w:trHeight w:val="738" w:hRule="atLeast"/>
          <w:tblCellSpacing w:w="0" w:type="dxa"/>
          <w:jc w:val="center"/>
        </w:trPr>
        <w:tc>
          <w:tcPr>
            <w:tcW w:w="0" w:type="auto"/>
            <w:shd w:val="clear" w:color="auto" w:fill="auto"/>
            <w:vAlign w:val="center"/>
          </w:tcPr>
          <w:p>
            <w:pPr>
              <w:widowControl/>
              <w:jc w:val="right"/>
              <w:rPr>
                <w:sz w:val="30"/>
                <w:szCs w:val="30"/>
              </w:rPr>
            </w:pPr>
            <w:r>
              <w:rPr>
                <w:rFonts w:ascii="宋体" w:hAnsi="宋体" w:cs="宋体"/>
                <w:kern w:val="0"/>
                <w:sz w:val="30"/>
                <w:szCs w:val="30"/>
              </w:rPr>
              <w:t>项目名称：</w:t>
            </w:r>
          </w:p>
        </w:tc>
        <w:tc>
          <w:tcPr>
            <w:tcW w:w="0" w:type="auto"/>
            <w:shd w:val="clear" w:color="auto" w:fill="auto"/>
            <w:vAlign w:val="center"/>
          </w:tcPr>
          <w:p>
            <w:pPr>
              <w:widowControl/>
              <w:jc w:val="left"/>
              <w:rPr>
                <w:sz w:val="30"/>
                <w:szCs w:val="30"/>
              </w:rPr>
            </w:pPr>
            <w:r>
              <w:rPr>
                <w:rFonts w:hint="eastAsia"/>
                <w:sz w:val="30"/>
                <w:szCs w:val="30"/>
              </w:rPr>
              <w:t>深圳市人民政府口岸办公室深圳智慧口岸建设工程项目</w:t>
            </w:r>
          </w:p>
        </w:tc>
      </w:tr>
      <w:tr>
        <w:tblPrEx>
          <w:tblCellMar>
            <w:top w:w="45" w:type="dxa"/>
            <w:left w:w="45" w:type="dxa"/>
            <w:bottom w:w="45" w:type="dxa"/>
            <w:right w:w="45" w:type="dxa"/>
          </w:tblCellMar>
        </w:tblPrEx>
        <w:trPr>
          <w:trHeight w:val="738" w:hRule="atLeast"/>
          <w:tblCellSpacing w:w="0" w:type="dxa"/>
          <w:jc w:val="center"/>
        </w:trPr>
        <w:tc>
          <w:tcPr>
            <w:tcW w:w="0" w:type="auto"/>
            <w:shd w:val="clear" w:color="auto" w:fill="auto"/>
            <w:vAlign w:val="center"/>
          </w:tcPr>
          <w:p>
            <w:pPr>
              <w:widowControl/>
              <w:jc w:val="right"/>
              <w:rPr>
                <w:sz w:val="30"/>
                <w:szCs w:val="30"/>
              </w:rPr>
            </w:pPr>
            <w:r>
              <w:rPr>
                <w:rFonts w:ascii="宋体" w:hAnsi="宋体" w:cs="宋体"/>
                <w:kern w:val="0"/>
                <w:sz w:val="30"/>
                <w:szCs w:val="30"/>
              </w:rPr>
              <w:t>包 号：</w:t>
            </w:r>
          </w:p>
        </w:tc>
        <w:tc>
          <w:tcPr>
            <w:tcW w:w="0" w:type="auto"/>
            <w:shd w:val="clear" w:color="auto" w:fill="auto"/>
            <w:vAlign w:val="center"/>
          </w:tcPr>
          <w:p>
            <w:pPr>
              <w:widowControl/>
              <w:jc w:val="left"/>
              <w:rPr>
                <w:sz w:val="30"/>
                <w:szCs w:val="30"/>
              </w:rPr>
            </w:pPr>
            <w:r>
              <w:rPr>
                <w:rFonts w:ascii="宋体" w:hAnsi="宋体" w:cs="宋体"/>
                <w:kern w:val="0"/>
                <w:sz w:val="30"/>
                <w:szCs w:val="30"/>
              </w:rPr>
              <w:t>A</w:t>
            </w:r>
          </w:p>
        </w:tc>
      </w:tr>
      <w:tr>
        <w:tblPrEx>
          <w:tblCellMar>
            <w:top w:w="45" w:type="dxa"/>
            <w:left w:w="45" w:type="dxa"/>
            <w:bottom w:w="45" w:type="dxa"/>
            <w:right w:w="45" w:type="dxa"/>
          </w:tblCellMar>
        </w:tblPrEx>
        <w:trPr>
          <w:trHeight w:val="738" w:hRule="atLeast"/>
          <w:tblCellSpacing w:w="0" w:type="dxa"/>
          <w:jc w:val="center"/>
        </w:trPr>
        <w:tc>
          <w:tcPr>
            <w:tcW w:w="0" w:type="auto"/>
            <w:shd w:val="clear" w:color="auto" w:fill="auto"/>
            <w:vAlign w:val="center"/>
          </w:tcPr>
          <w:p>
            <w:pPr>
              <w:widowControl/>
              <w:jc w:val="right"/>
              <w:rPr>
                <w:sz w:val="30"/>
                <w:szCs w:val="30"/>
              </w:rPr>
            </w:pPr>
            <w:r>
              <w:rPr>
                <w:rFonts w:ascii="宋体" w:hAnsi="宋体" w:cs="宋体"/>
                <w:kern w:val="0"/>
                <w:sz w:val="30"/>
                <w:szCs w:val="30"/>
              </w:rPr>
              <w:t>项目类型：</w:t>
            </w:r>
          </w:p>
        </w:tc>
        <w:tc>
          <w:tcPr>
            <w:tcW w:w="0" w:type="auto"/>
            <w:shd w:val="clear" w:color="auto" w:fill="auto"/>
            <w:vAlign w:val="center"/>
          </w:tcPr>
          <w:p>
            <w:pPr>
              <w:widowControl/>
              <w:jc w:val="left"/>
              <w:rPr>
                <w:sz w:val="30"/>
                <w:szCs w:val="30"/>
              </w:rPr>
            </w:pPr>
            <w:r>
              <w:rPr>
                <w:rFonts w:ascii="宋体" w:hAnsi="宋体" w:cs="宋体"/>
                <w:kern w:val="0"/>
                <w:sz w:val="30"/>
                <w:szCs w:val="30"/>
              </w:rPr>
              <w:t>货物类</w:t>
            </w:r>
          </w:p>
        </w:tc>
      </w:tr>
      <w:tr>
        <w:tblPrEx>
          <w:tblCellMar>
            <w:top w:w="45" w:type="dxa"/>
            <w:left w:w="45" w:type="dxa"/>
            <w:bottom w:w="45" w:type="dxa"/>
            <w:right w:w="45" w:type="dxa"/>
          </w:tblCellMar>
        </w:tblPrEx>
        <w:trPr>
          <w:trHeight w:val="738" w:hRule="atLeast"/>
          <w:tblCellSpacing w:w="0" w:type="dxa"/>
          <w:jc w:val="center"/>
        </w:trPr>
        <w:tc>
          <w:tcPr>
            <w:tcW w:w="0" w:type="auto"/>
            <w:shd w:val="clear" w:color="auto" w:fill="auto"/>
            <w:vAlign w:val="center"/>
          </w:tcPr>
          <w:p>
            <w:pPr>
              <w:widowControl/>
              <w:jc w:val="right"/>
              <w:rPr>
                <w:sz w:val="30"/>
                <w:szCs w:val="30"/>
              </w:rPr>
            </w:pPr>
            <w:r>
              <w:rPr>
                <w:rFonts w:ascii="宋体" w:hAnsi="宋体" w:cs="宋体"/>
                <w:kern w:val="0"/>
                <w:sz w:val="30"/>
                <w:szCs w:val="30"/>
              </w:rPr>
              <w:t>采购方式：</w:t>
            </w:r>
          </w:p>
        </w:tc>
        <w:tc>
          <w:tcPr>
            <w:tcW w:w="0" w:type="auto"/>
            <w:shd w:val="clear" w:color="auto" w:fill="auto"/>
            <w:vAlign w:val="center"/>
          </w:tcPr>
          <w:p>
            <w:pPr>
              <w:widowControl/>
              <w:jc w:val="left"/>
              <w:rPr>
                <w:sz w:val="30"/>
                <w:szCs w:val="30"/>
              </w:rPr>
            </w:pPr>
            <w:r>
              <w:rPr>
                <w:rFonts w:ascii="宋体" w:hAnsi="宋体" w:cs="宋体"/>
                <w:kern w:val="0"/>
                <w:sz w:val="30"/>
                <w:szCs w:val="30"/>
              </w:rPr>
              <w:t>公开招标</w:t>
            </w:r>
          </w:p>
        </w:tc>
      </w:tr>
      <w:tr>
        <w:tblPrEx>
          <w:tblCellMar>
            <w:top w:w="45" w:type="dxa"/>
            <w:left w:w="45" w:type="dxa"/>
            <w:bottom w:w="45" w:type="dxa"/>
            <w:right w:w="45" w:type="dxa"/>
          </w:tblCellMar>
        </w:tblPrEx>
        <w:trPr>
          <w:trHeight w:val="738" w:hRule="atLeast"/>
          <w:tblCellSpacing w:w="0" w:type="dxa"/>
          <w:jc w:val="center"/>
        </w:trPr>
        <w:tc>
          <w:tcPr>
            <w:tcW w:w="0" w:type="auto"/>
            <w:shd w:val="clear" w:color="auto" w:fill="auto"/>
            <w:vAlign w:val="center"/>
          </w:tcPr>
          <w:p>
            <w:pPr>
              <w:widowControl/>
              <w:jc w:val="right"/>
              <w:rPr>
                <w:sz w:val="30"/>
                <w:szCs w:val="30"/>
              </w:rPr>
            </w:pPr>
            <w:r>
              <w:rPr>
                <w:rFonts w:ascii="宋体" w:hAnsi="宋体" w:cs="宋体"/>
                <w:kern w:val="0"/>
                <w:sz w:val="30"/>
                <w:szCs w:val="30"/>
              </w:rPr>
              <w:t>货币类型：</w:t>
            </w:r>
          </w:p>
        </w:tc>
        <w:tc>
          <w:tcPr>
            <w:tcW w:w="0" w:type="auto"/>
            <w:shd w:val="clear" w:color="auto" w:fill="auto"/>
            <w:vAlign w:val="center"/>
          </w:tcPr>
          <w:p>
            <w:pPr>
              <w:widowControl/>
              <w:jc w:val="left"/>
              <w:rPr>
                <w:sz w:val="30"/>
                <w:szCs w:val="30"/>
              </w:rPr>
            </w:pPr>
            <w:r>
              <w:rPr>
                <w:rFonts w:ascii="宋体" w:hAnsi="宋体" w:cs="宋体"/>
                <w:kern w:val="0"/>
                <w:sz w:val="30"/>
                <w:szCs w:val="30"/>
              </w:rPr>
              <w:t>人民币</w:t>
            </w:r>
          </w:p>
        </w:tc>
      </w:tr>
      <w:tr>
        <w:tblPrEx>
          <w:tblCellMar>
            <w:top w:w="45" w:type="dxa"/>
            <w:left w:w="45" w:type="dxa"/>
            <w:bottom w:w="45" w:type="dxa"/>
            <w:right w:w="45" w:type="dxa"/>
          </w:tblCellMar>
        </w:tblPrEx>
        <w:trPr>
          <w:trHeight w:val="738" w:hRule="atLeast"/>
          <w:tblCellSpacing w:w="0" w:type="dxa"/>
          <w:jc w:val="center"/>
        </w:trPr>
        <w:tc>
          <w:tcPr>
            <w:tcW w:w="0" w:type="auto"/>
            <w:shd w:val="clear" w:color="auto" w:fill="auto"/>
            <w:vAlign w:val="center"/>
          </w:tcPr>
          <w:p>
            <w:pPr>
              <w:widowControl/>
              <w:jc w:val="right"/>
              <w:rPr>
                <w:sz w:val="30"/>
                <w:szCs w:val="30"/>
              </w:rPr>
            </w:pPr>
            <w:r>
              <w:rPr>
                <w:rFonts w:ascii="宋体" w:hAnsi="宋体" w:cs="宋体"/>
                <w:kern w:val="0"/>
                <w:sz w:val="30"/>
                <w:szCs w:val="30"/>
              </w:rPr>
              <w:t>评标方法：</w:t>
            </w:r>
          </w:p>
        </w:tc>
        <w:tc>
          <w:tcPr>
            <w:tcW w:w="0" w:type="auto"/>
            <w:shd w:val="clear" w:color="auto" w:fill="auto"/>
            <w:vAlign w:val="center"/>
          </w:tcPr>
          <w:p>
            <w:pPr>
              <w:widowControl/>
              <w:jc w:val="left"/>
              <w:rPr>
                <w:sz w:val="30"/>
                <w:szCs w:val="30"/>
              </w:rPr>
            </w:pPr>
            <w:r>
              <w:rPr>
                <w:rFonts w:ascii="宋体" w:hAnsi="宋体" w:cs="宋体"/>
                <w:kern w:val="0"/>
                <w:sz w:val="30"/>
                <w:szCs w:val="30"/>
              </w:rPr>
              <w:t>综合评分</w:t>
            </w:r>
            <w:r>
              <w:rPr>
                <w:rFonts w:hint="eastAsia" w:ascii="宋体" w:hAnsi="宋体" w:cs="宋体"/>
                <w:kern w:val="0"/>
                <w:sz w:val="30"/>
                <w:szCs w:val="30"/>
              </w:rPr>
              <w:t>法</w:t>
            </w:r>
          </w:p>
        </w:tc>
      </w:tr>
      <w:bookmarkEnd w:id="0"/>
    </w:tbl>
    <w:p>
      <w:pPr>
        <w:pStyle w:val="38"/>
        <w:widowControl/>
        <w:jc w:val="center"/>
        <w:outlineLvl w:val="1"/>
        <w:rPr>
          <w:rFonts w:ascii="黑体" w:hAnsi="宋体" w:eastAsia="黑体" w:cs="黑体"/>
          <w:sz w:val="40"/>
          <w:szCs w:val="40"/>
        </w:rPr>
      </w:pPr>
      <w:r>
        <w:rPr>
          <w:rFonts w:hint="eastAsia" w:ascii="黑体" w:hAnsi="宋体" w:eastAsia="黑体" w:cs="黑体"/>
          <w:sz w:val="40"/>
          <w:szCs w:val="40"/>
        </w:rPr>
        <w:t>资格性审查表</w:t>
      </w:r>
    </w:p>
    <w:tbl>
      <w:tblPr>
        <w:tblStyle w:val="43"/>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ascii="宋体" w:hAnsi="宋体" w:cs="宋体"/>
                <w:kern w:val="0"/>
                <w:szCs w:val="21"/>
              </w:rPr>
              <w:t>投标人不</w:t>
            </w:r>
            <w:r>
              <w:rPr>
                <w:rFonts w:hint="eastAsia" w:ascii="宋体" w:hAnsi="宋体" w:cs="宋体"/>
                <w:kern w:val="0"/>
                <w:szCs w:val="21"/>
              </w:rPr>
              <w:t>符合</w:t>
            </w:r>
            <w:r>
              <w:rPr>
                <w:rFonts w:ascii="宋体" w:hAnsi="宋体" w:cs="宋体"/>
                <w:kern w:val="0"/>
                <w:szCs w:val="21"/>
              </w:rPr>
              <w:t>资格要求，或未提交相应的资格证明资料（详见招标公告</w:t>
            </w:r>
            <w:r>
              <w:rPr>
                <w:rFonts w:hint="eastAsia" w:ascii="宋体" w:hAnsi="宋体"/>
                <w:szCs w:val="21"/>
              </w:rPr>
              <w:t>投标人资格要求，即申请人的资格要求</w:t>
            </w:r>
            <w:r>
              <w:rPr>
                <w:rFonts w:ascii="宋体" w:hAnsi="宋体" w:cs="宋体"/>
                <w:kern w:val="0"/>
                <w:szCs w:val="21"/>
              </w:rPr>
              <w:t>）</w:t>
            </w:r>
          </w:p>
        </w:tc>
      </w:tr>
    </w:tbl>
    <w:p>
      <w:pPr>
        <w:pStyle w:val="38"/>
        <w:widowControl/>
        <w:spacing w:before="280" w:beforeAutospacing="0"/>
        <w:jc w:val="center"/>
        <w:outlineLvl w:val="1"/>
        <w:rPr>
          <w:rFonts w:ascii="黑体" w:hAnsi="宋体" w:eastAsia="黑体" w:cs="黑体"/>
          <w:sz w:val="40"/>
          <w:szCs w:val="40"/>
        </w:rPr>
      </w:pPr>
      <w:r>
        <w:rPr>
          <w:rFonts w:hint="eastAsia" w:ascii="黑体" w:hAnsi="宋体" w:eastAsia="黑体" w:cs="黑体"/>
          <w:sz w:val="40"/>
          <w:szCs w:val="40"/>
        </w:rPr>
        <w:t>符合性审查表</w:t>
      </w:r>
    </w:p>
    <w:tbl>
      <w:tblPr>
        <w:tblStyle w:val="43"/>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rPr>
              <w:t>序号</w:t>
            </w:r>
          </w:p>
        </w:tc>
        <w:tc>
          <w:tcPr>
            <w:tcW w:w="828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不得将一个包内容拆开投标；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2</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3</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分项报价或投标总价不得高于</w:t>
            </w:r>
            <w:bookmarkStart w:id="1" w:name="_Hlk71832186"/>
            <w:r>
              <w:rPr>
                <w:rFonts w:hint="eastAsia"/>
              </w:rPr>
              <w:t>相应预算金额（或设定的预算金额下的最高限价）</w:t>
            </w:r>
            <w:bookmarkEnd w:id="1"/>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4</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5</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所投货物、服务在技术、商务等方面没有实质性满足招标文件要求的（是否实质性满足招标文件要求，由评审委员会根据实质性条款响应情况作出评判）；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6</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未按招标文件所提供的样式填写《投标函》；未按招标文件所提供的《政府采购投标及履约承诺函》进行承诺或不符合承诺的；未按招标文件对投标文件组成的要求提供投标文件；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81" w:hRule="atLeast"/>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7</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投标报价有缺漏项目,或者对招标文件规定的项目需求内容或者需求数量进行修改</w:t>
            </w:r>
            <w:r>
              <w:rPr>
                <w:rFonts w:hint="eastAsia"/>
                <w:szCs w:val="21"/>
              </w:rPr>
              <w:t>，评审委员会判定投标响应不满足采购需求</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8</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9</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投标文件电子文档不得带病毒；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rPr>
              <w:t>10</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hint="eastAsia" w:ascii="宋体" w:hAnsi="宋体" w:cs="宋体"/>
                <w:color w:val="FF0000"/>
                <w:kern w:val="0"/>
                <w:szCs w:val="21"/>
              </w:rPr>
              <w:t>1</w:t>
            </w:r>
            <w:r>
              <w:rPr>
                <w:rFonts w:ascii="宋体" w:hAnsi="宋体" w:cs="宋体"/>
                <w:color w:val="FF0000"/>
                <w:kern w:val="0"/>
                <w:szCs w:val="21"/>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color w:val="FF0000"/>
              </w:rPr>
              <w:t>不同投标供应商投标文件“文件制作机器码”一致；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kern w:val="0"/>
                <w:szCs w:val="21"/>
              </w:rPr>
            </w:pPr>
            <w:r>
              <w:rPr>
                <w:rFonts w:hint="eastAsia" w:ascii="宋体" w:hAnsi="宋体" w:cs="宋体"/>
                <w:color w:val="FF0000"/>
                <w:kern w:val="0"/>
                <w:szCs w:val="21"/>
              </w:rPr>
              <w:t>1</w:t>
            </w:r>
            <w:r>
              <w:rPr>
                <w:rFonts w:ascii="宋体" w:hAnsi="宋体" w:cs="宋体"/>
                <w:color w:val="FF0000"/>
                <w:kern w:val="0"/>
                <w:szCs w:val="21"/>
              </w:rPr>
              <w:t>2</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pPr>
            <w:r>
              <w:rPr>
                <w:color w:val="FF0000"/>
              </w:rPr>
              <w:t>不同投标供应商投标文件“文件创建标识码”一致</w:t>
            </w:r>
            <w:r>
              <w:rPr>
                <w:rFonts w:hint="eastAsia"/>
                <w:color w:val="FF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kern w:val="0"/>
                <w:szCs w:val="21"/>
              </w:rPr>
            </w:pPr>
            <w:r>
              <w:rPr>
                <w:rFonts w:ascii="宋体" w:hAnsi="宋体" w:cs="宋体"/>
                <w:kern w:val="0"/>
                <w:szCs w:val="21"/>
              </w:rPr>
              <w:t>13</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pPr>
            <w:r>
              <w:rPr>
                <w:rFonts w:hint="eastAsia"/>
              </w:rPr>
              <w:t>法律、法规、规章、规范性文件规定的其他情形。</w:t>
            </w:r>
          </w:p>
        </w:tc>
      </w:tr>
    </w:tbl>
    <w:p>
      <w:pPr>
        <w:pStyle w:val="38"/>
        <w:widowControl/>
        <w:jc w:val="center"/>
        <w:outlineLvl w:val="1"/>
        <w:rPr>
          <w:rFonts w:ascii="黑体" w:hAnsi="宋体" w:eastAsia="黑体" w:cs="黑体"/>
          <w:sz w:val="40"/>
          <w:szCs w:val="40"/>
        </w:rPr>
      </w:pPr>
      <w:r>
        <w:rPr>
          <w:rFonts w:hint="eastAsia" w:ascii="黑体" w:hAnsi="宋体" w:eastAsia="黑体" w:cs="黑体"/>
          <w:sz w:val="40"/>
          <w:szCs w:val="40"/>
        </w:rPr>
        <w:t>评标信息</w:t>
      </w:r>
    </w:p>
    <w:tbl>
      <w:tblPr>
        <w:tblStyle w:val="43"/>
        <w:tblW w:w="9078" w:type="dxa"/>
        <w:jc w:val="center"/>
        <w:tblCellSpacing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autofit"/>
        <w:tblCellMar>
          <w:top w:w="45" w:type="dxa"/>
          <w:left w:w="45" w:type="dxa"/>
          <w:bottom w:w="45" w:type="dxa"/>
          <w:right w:w="45" w:type="dxa"/>
        </w:tblCellMar>
      </w:tblPr>
      <w:tblGrid>
        <w:gridCol w:w="8683"/>
        <w:gridCol w:w="39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0" w:type="dxa"/>
          <w:jc w:val="center"/>
        </w:trPr>
        <w:tc>
          <w:tcPr>
            <w:tcW w:w="0" w:type="auto"/>
            <w:shd w:val="clear" w:color="auto" w:fill="auto"/>
            <w:vAlign w:val="center"/>
          </w:tcPr>
          <w:p>
            <w:pPr>
              <w:widowControl/>
              <w:jc w:val="left"/>
              <w:rPr>
                <w:b/>
                <w:bCs/>
                <w:sz w:val="24"/>
              </w:rPr>
            </w:pPr>
            <w:r>
              <w:rPr>
                <w:b/>
                <w:bCs/>
              </w:rPr>
              <w:t>评标方法：综合评分法</w:t>
            </w:r>
          </w:p>
        </w:tc>
        <w:tc>
          <w:tcPr>
            <w:tcW w:w="0" w:type="auto"/>
            <w:shd w:val="clear" w:color="auto" w:fill="auto"/>
            <w:vAlign w:val="center"/>
          </w:tcPr>
          <w:p>
            <w:pPr>
              <w:jc w:val="right"/>
              <w:rPr>
                <w:rFonts w:ascii="宋体"/>
                <w:b/>
                <w:bCs/>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0" w:type="dxa"/>
          <w:jc w:val="center"/>
        </w:trPr>
        <w:tc>
          <w:tcPr>
            <w:tcW w:w="0" w:type="auto"/>
            <w:gridSpan w:val="2"/>
            <w:shd w:val="clear" w:color="auto" w:fill="auto"/>
            <w:vAlign w:val="center"/>
          </w:tcPr>
          <w:p>
            <w:pPr>
              <w:spacing w:line="324" w:lineRule="auto"/>
              <w:ind w:firstLine="420"/>
              <w:rPr>
                <w:rFonts w:hint="eastAsia"/>
                <w:szCs w:val="21"/>
              </w:rPr>
            </w:pPr>
            <w:r>
              <w:rPr>
                <w:rFonts w:hint="eastAsia"/>
                <w:szCs w:val="21"/>
              </w:rPr>
              <w:t>综合评分法，是指投标文件满足招标文件全部实质性要求，且按照评审因素的量化指标评审得分最高的投标人为中标候选人的评标方法。 （适用于中标候选人为1家的情形）</w:t>
            </w:r>
          </w:p>
          <w:p>
            <w:pPr>
              <w:spacing w:line="324" w:lineRule="auto"/>
              <w:ind w:firstLine="420"/>
              <w:rPr>
                <w:szCs w:val="21"/>
              </w:rPr>
            </w:pPr>
            <w:r>
              <w:rPr>
                <w:rFonts w:hint="eastAsia"/>
                <w:szCs w:val="21"/>
              </w:rPr>
              <w:t>综合评分法。在最大限度地满足招标文件实质性要求的前提下，按照招标文件中规定的各项因素进行综合评审，评标总得分排名前列的投标人，作为推荐的候选中标供应商。（适用于中标候选人为多家的情形）</w:t>
            </w:r>
          </w:p>
          <w:p>
            <w:pPr>
              <w:ind w:firstLine="420"/>
              <w:rPr>
                <w:szCs w:val="21"/>
              </w:rPr>
            </w:pPr>
            <w:r>
              <w:rPr>
                <w:szCs w:val="21"/>
              </w:rPr>
              <w:t>价格分计算方法：</w:t>
            </w:r>
          </w:p>
          <w:p>
            <w:pPr>
              <w:pStyle w:val="38"/>
              <w:widowControl/>
              <w:spacing w:line="324" w:lineRule="auto"/>
              <w:ind w:left="420"/>
              <w:rPr>
                <w:sz w:val="21"/>
                <w:szCs w:val="21"/>
              </w:rPr>
            </w:pPr>
            <w:r>
              <w:rPr>
                <w:kern w:val="2"/>
                <w:sz w:val="21"/>
                <w:szCs w:val="21"/>
              </w:rPr>
              <w:t xml:space="preserve">采用低价优先法计算，即满足招标文件要求且投标价格最低的投标报价为评标基准价，其价格分为满分。其他投标人的价格分统一按照下列公式计算： </w:t>
            </w:r>
            <w:r>
              <w:rPr>
                <w:kern w:val="2"/>
                <w:sz w:val="21"/>
                <w:szCs w:val="21"/>
              </w:rPr>
              <w:br w:type="textWrapping"/>
            </w:r>
            <w:r>
              <w:rPr>
                <w:kern w:val="2"/>
                <w:sz w:val="21"/>
                <w:szCs w:val="21"/>
              </w:rPr>
              <w:t xml:space="preserve">投标报价得分=(评标基准价／投标报价)×100 </w:t>
            </w:r>
            <w:r>
              <w:rPr>
                <w:kern w:val="2"/>
                <w:sz w:val="21"/>
                <w:szCs w:val="21"/>
              </w:rPr>
              <w:br w:type="textWrapping"/>
            </w:r>
            <w:r>
              <w:rPr>
                <w:kern w:val="2"/>
                <w:sz w:val="21"/>
                <w:szCs w:val="21"/>
              </w:rPr>
              <w:t xml:space="preserve">评标总得分＝F1×A1＋F2×A2＋……＋Fn×An </w:t>
            </w:r>
            <w:r>
              <w:rPr>
                <w:kern w:val="2"/>
                <w:sz w:val="21"/>
                <w:szCs w:val="21"/>
              </w:rPr>
              <w:br w:type="textWrapping"/>
            </w:r>
            <w:r>
              <w:rPr>
                <w:kern w:val="2"/>
                <w:sz w:val="21"/>
                <w:szCs w:val="21"/>
              </w:rPr>
              <w:t xml:space="preserve">F1、F2……Fn分别为各项评审因素的得分； </w:t>
            </w:r>
            <w:r>
              <w:rPr>
                <w:kern w:val="2"/>
                <w:sz w:val="21"/>
                <w:szCs w:val="21"/>
              </w:rPr>
              <w:br w:type="textWrapping"/>
            </w:r>
            <w:r>
              <w:rPr>
                <w:kern w:val="2"/>
                <w:sz w:val="21"/>
                <w:szCs w:val="21"/>
              </w:rPr>
              <w:t xml:space="preserve">A1、A2、……An 分别为各项评审因素所占的权重(A1＋A2＋……＋An＝1)。 </w:t>
            </w:r>
            <w:r>
              <w:rPr>
                <w:kern w:val="2"/>
                <w:sz w:val="21"/>
                <w:szCs w:val="21"/>
              </w:rPr>
              <w:br w:type="textWrapping"/>
            </w:r>
            <w:r>
              <w:rPr>
                <w:kern w:val="2"/>
                <w:sz w:val="21"/>
                <w:szCs w:val="21"/>
              </w:rPr>
              <w:t xml:space="preserve">评标过程中，不得去掉报价中的最高报价和最低报价。 </w:t>
            </w:r>
          </w:p>
        </w:tc>
      </w:tr>
    </w:tbl>
    <w:p>
      <w:pPr>
        <w:rPr>
          <w:vanish/>
          <w:sz w:val="24"/>
        </w:rPr>
      </w:pPr>
    </w:p>
    <w:p/>
    <w:p>
      <w:pPr>
        <w:pStyle w:val="18"/>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
        <w:gridCol w:w="636"/>
        <w:gridCol w:w="766"/>
        <w:gridCol w:w="863"/>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0" w:type="auto"/>
            <w:vMerge w:val="restart"/>
            <w:vAlign w:val="center"/>
          </w:tcPr>
          <w:p>
            <w:r>
              <w:rPr>
                <w:rFonts w:hint="eastAsia"/>
              </w:rPr>
              <w:t>1</w:t>
            </w:r>
          </w:p>
        </w:tc>
        <w:tc>
          <w:tcPr>
            <w:tcW w:w="0" w:type="auto"/>
            <w:gridSpan w:val="3"/>
            <w:noWrap/>
            <w:vAlign w:val="center"/>
          </w:tcPr>
          <w:p>
            <w:r>
              <w:rPr>
                <w:rFonts w:hint="eastAsia"/>
              </w:rPr>
              <w:t>价格部分</w:t>
            </w:r>
          </w:p>
        </w:tc>
        <w:tc>
          <w:tcPr>
            <w:tcW w:w="0" w:type="auto"/>
            <w:noWrap/>
            <w:vAlign w:val="center"/>
          </w:tcPr>
          <w:p>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vAlign w:val="center"/>
          </w:tcPr>
          <w:p/>
        </w:tc>
        <w:tc>
          <w:tcPr>
            <w:tcW w:w="0" w:type="auto"/>
            <w:gridSpan w:val="4"/>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0" w:type="auto"/>
            <w:vMerge w:val="restart"/>
            <w:vAlign w:val="center"/>
          </w:tcPr>
          <w:p>
            <w:r>
              <w:rPr>
                <w:rFonts w:hint="eastAsia"/>
              </w:rPr>
              <w:t>2</w:t>
            </w:r>
          </w:p>
        </w:tc>
        <w:tc>
          <w:tcPr>
            <w:tcW w:w="0" w:type="auto"/>
            <w:gridSpan w:val="3"/>
            <w:noWrap/>
            <w:vAlign w:val="center"/>
          </w:tcPr>
          <w:p>
            <w:r>
              <w:rPr>
                <w:rFonts w:hint="eastAsia"/>
              </w:rPr>
              <w:t>技术部分</w:t>
            </w:r>
          </w:p>
        </w:tc>
        <w:tc>
          <w:tcPr>
            <w:tcW w:w="0" w:type="auto"/>
            <w:vAlign w:val="center"/>
          </w:tcPr>
          <w:p>
            <w:r>
              <w:t>5</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vAlign w:val="center"/>
          </w:tcPr>
          <w:p/>
        </w:tc>
        <w:tc>
          <w:tcPr>
            <w:tcW w:w="0" w:type="auto"/>
            <w:noWrap/>
            <w:vAlign w:val="center"/>
          </w:tcPr>
          <w:p>
            <w:r>
              <w:rPr>
                <w:rFonts w:hint="eastAsia"/>
              </w:rPr>
              <w:t>序号</w:t>
            </w:r>
          </w:p>
        </w:tc>
        <w:tc>
          <w:tcPr>
            <w:tcW w:w="0" w:type="auto"/>
            <w:vAlign w:val="center"/>
          </w:tcPr>
          <w:p>
            <w:r>
              <w:rPr>
                <w:rFonts w:hint="eastAsia"/>
              </w:rPr>
              <w:t>评分因素</w:t>
            </w:r>
          </w:p>
        </w:tc>
        <w:tc>
          <w:tcPr>
            <w:tcW w:w="0" w:type="auto"/>
            <w:vAlign w:val="center"/>
          </w:tcPr>
          <w:p>
            <w:r>
              <w:rPr>
                <w:rFonts w:hint="eastAsia"/>
              </w:rPr>
              <w:t>权重（%）</w:t>
            </w:r>
          </w:p>
        </w:tc>
        <w:tc>
          <w:tcPr>
            <w:tcW w:w="0" w:type="auto"/>
            <w:noWrap/>
            <w:vAlign w:val="center"/>
          </w:tcPr>
          <w:p>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0" w:type="auto"/>
            <w:vMerge w:val="continue"/>
            <w:vAlign w:val="center"/>
          </w:tcPr>
          <w:p/>
        </w:tc>
        <w:tc>
          <w:tcPr>
            <w:tcW w:w="0" w:type="auto"/>
            <w:noWrap/>
            <w:vAlign w:val="center"/>
          </w:tcPr>
          <w:p>
            <w:r>
              <w:rPr>
                <w:rFonts w:hint="eastAsia"/>
              </w:rPr>
              <w:t>1</w:t>
            </w:r>
          </w:p>
        </w:tc>
        <w:tc>
          <w:tcPr>
            <w:tcW w:w="0" w:type="auto"/>
            <w:vAlign w:val="center"/>
          </w:tcPr>
          <w:p>
            <w:r>
              <w:rPr>
                <w:rFonts w:hint="eastAsia"/>
              </w:rPr>
              <w:t>技术要求偏离情况</w:t>
            </w:r>
          </w:p>
        </w:tc>
        <w:tc>
          <w:tcPr>
            <w:tcW w:w="0" w:type="auto"/>
            <w:vAlign w:val="center"/>
          </w:tcPr>
          <w:p>
            <w:r>
              <w:rPr>
                <w:rFonts w:hint="eastAsia"/>
              </w:rPr>
              <w:t>39</w:t>
            </w:r>
          </w:p>
        </w:tc>
        <w:tc>
          <w:tcPr>
            <w:tcW w:w="0" w:type="auto"/>
            <w:vAlign w:val="center"/>
          </w:tcPr>
          <w:p>
            <w:pPr>
              <w:rPr>
                <w:rFonts w:hint="eastAsia"/>
              </w:rPr>
            </w:pPr>
            <w:r>
              <w:rPr>
                <w:rFonts w:hint="eastAsia"/>
              </w:rPr>
              <w:t>投标人根据所投产品的具体参数如实填写《技术要求偏离表》，评审委员会根据响应情况进行打分。满分100分，各项技术参数指标及要求全部满足的得100分。标注“★”为实质性条款，负偏离将导致其投标无效；</w:t>
            </w:r>
          </w:p>
          <w:p>
            <w:pPr>
              <w:numPr>
                <w:ilvl w:val="0"/>
                <w:numId w:val="7"/>
              </w:numPr>
              <w:rPr>
                <w:rFonts w:hint="eastAsia"/>
                <w:b/>
                <w:bCs/>
              </w:rPr>
            </w:pPr>
            <w:r>
              <w:rPr>
                <w:rFonts w:hint="eastAsia"/>
                <w:b/>
                <w:bCs/>
              </w:rPr>
              <w:t xml:space="preserve">一般技术参数：所有一般技术参数满足要求，得20分；一般技术参数负偏离的项数为1-20项范围内，得15分；一般技术参数负偏离的项数为21-40项范围内，得10分；一般技术参数负偏离的项数为41-60项范围内，得5分；一般技术参数负偏离的项数超过60项，不得分；一般技术参数得分最高得20分。 </w:t>
            </w:r>
          </w:p>
          <w:p>
            <w:pPr>
              <w:numPr>
                <w:ilvl w:val="-1"/>
                <w:numId w:val="0"/>
              </w:numPr>
            </w:pPr>
            <w:r>
              <w:rPr>
                <w:rFonts w:hint="eastAsia"/>
                <w:b/>
                <w:bCs/>
              </w:rPr>
              <w:t>（二）“▲”重要技术参数：所有“▲”重要技术参数满足要求，得80分；“▲”重要技术参数负偏离的项数为1-5项范围内，得60分；“▲”重要技术参数负偏离的项数为6-10项范围内，得40分；“▲”重要技术参数的项数为11-15项范围内，得20分；“▲”重要技术参数负偏离的项数超过15项，不得分；“▲”重要技术参数得分最高得80分。</w:t>
            </w:r>
            <w:r>
              <w:rPr>
                <w:rFonts w:hint="eastAsia"/>
              </w:rPr>
              <w:t>。</w:t>
            </w:r>
            <w:r>
              <w:rPr>
                <w:rFonts w:hint="eastAsia"/>
              </w:rPr>
              <w:br w:type="textWrapping"/>
            </w:r>
            <w:r>
              <w:rPr>
                <w:rFonts w:hint="eastAsia"/>
              </w:rPr>
              <w:t>二、评分依据:</w:t>
            </w:r>
            <w:r>
              <w:rPr>
                <w:rFonts w:hint="eastAsia"/>
              </w:rPr>
              <w:br w:type="textWrapping"/>
            </w:r>
            <w:r>
              <w:rPr>
                <w:rFonts w:hint="eastAsia"/>
              </w:rPr>
              <w:t>（1）如要求提供相关证明材料的的技术参数条款，提供的证明资料与所填写内容不一致的，以证明资料为准；未提供或未按要求提供或证明材料不能满足招标要求或提供的不清晰导致专家无法判断的，均视为负偏离。</w:t>
            </w:r>
            <w:r>
              <w:rPr>
                <w:rFonts w:hint="eastAsia"/>
              </w:rPr>
              <w:br w:type="textWrapping"/>
            </w:r>
            <w:r>
              <w:rPr>
                <w:rFonts w:hint="eastAsia"/>
              </w:rPr>
              <w:t>（2）如未要求提供证明材料的技术参数条款，投标人可以不提供，评分时以投标人在《技术要求偏离表》填写的响应情况为准。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vAlign w:val="center"/>
          </w:tcPr>
          <w:p/>
        </w:tc>
        <w:tc>
          <w:tcPr>
            <w:tcW w:w="0" w:type="auto"/>
            <w:noWrap/>
            <w:vAlign w:val="center"/>
          </w:tcPr>
          <w:p>
            <w:r>
              <w:rPr>
                <w:rFonts w:hint="eastAsia"/>
              </w:rPr>
              <w:t>2</w:t>
            </w:r>
          </w:p>
        </w:tc>
        <w:tc>
          <w:tcPr>
            <w:tcW w:w="0" w:type="auto"/>
            <w:vAlign w:val="center"/>
          </w:tcPr>
          <w:p>
            <w:r>
              <w:rPr>
                <w:rFonts w:hint="eastAsia"/>
              </w:rPr>
              <w:t>商务要求偏离情况</w:t>
            </w:r>
          </w:p>
        </w:tc>
        <w:tc>
          <w:tcPr>
            <w:tcW w:w="0" w:type="auto"/>
            <w:vAlign w:val="center"/>
          </w:tcPr>
          <w:p>
            <w:r>
              <w:t>1</w:t>
            </w:r>
          </w:p>
        </w:tc>
        <w:tc>
          <w:tcPr>
            <w:tcW w:w="0" w:type="auto"/>
            <w:vAlign w:val="center"/>
          </w:tcPr>
          <w:p>
            <w:pPr>
              <w:rPr>
                <w:rFonts w:cs="宋体"/>
                <w:color w:val="000000"/>
                <w:kern w:val="0"/>
              </w:rPr>
            </w:pPr>
            <w:r>
              <w:rPr>
                <w:rFonts w:hint="eastAsia"/>
              </w:rPr>
              <w:t>投标人应如实填写《商务要求偏离表》，评审委员会根据响应情况进行打分，全部满足要求的得100分。标注“★”为实质性条款，负偏离将导致其投标无效，其它条款（以招标商务要求项下条款为准）每负偏离一项扣</w:t>
            </w:r>
            <w:r>
              <w:rPr>
                <w:rFonts w:hint="eastAsia"/>
                <w:lang w:val="en-US" w:eastAsia="zh-CN"/>
              </w:rPr>
              <w:t>6</w:t>
            </w:r>
            <w:r>
              <w:rPr>
                <w:rFonts w:hint="eastAsia"/>
              </w:rPr>
              <w:t>分，扣完为止。正偏离不加分。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vAlign w:val="center"/>
          </w:tcPr>
          <w:p/>
        </w:tc>
        <w:tc>
          <w:tcPr>
            <w:tcW w:w="0" w:type="auto"/>
            <w:noWrap/>
            <w:vAlign w:val="center"/>
          </w:tcPr>
          <w:p>
            <w:r>
              <w:rPr>
                <w:rFonts w:hint="eastAsia"/>
              </w:rPr>
              <w:t>3</w:t>
            </w:r>
          </w:p>
        </w:tc>
        <w:tc>
          <w:tcPr>
            <w:tcW w:w="0" w:type="auto"/>
            <w:vAlign w:val="center"/>
          </w:tcPr>
          <w:p>
            <w:pPr>
              <w:rPr>
                <w:rFonts w:cs="宋体"/>
                <w:color w:val="000000"/>
                <w:kern w:val="0"/>
              </w:rPr>
            </w:pPr>
            <w:r>
              <w:rPr>
                <w:rFonts w:hint="eastAsia"/>
              </w:rPr>
              <w:t>项目重点难点分析、应对措施及相关的合理化建议</w:t>
            </w:r>
          </w:p>
        </w:tc>
        <w:tc>
          <w:tcPr>
            <w:tcW w:w="0" w:type="auto"/>
            <w:vAlign w:val="center"/>
          </w:tcPr>
          <w:p>
            <w:r>
              <w:rPr>
                <w:rFonts w:hint="eastAsia"/>
              </w:rPr>
              <w:t>2</w:t>
            </w:r>
          </w:p>
        </w:tc>
        <w:tc>
          <w:tcPr>
            <w:tcW w:w="0" w:type="auto"/>
            <w:vAlign w:val="center"/>
          </w:tcPr>
          <w:p>
            <w:r>
              <w:rPr>
                <w:rFonts w:hint="eastAsia"/>
              </w:rPr>
              <w:t>一、评审标准：针对本项目需求的理解和分析，内容包括但不限于：</w:t>
            </w:r>
          </w:p>
          <w:p>
            <w:r>
              <w:rPr>
                <w:rFonts w:hint="eastAsia"/>
              </w:rPr>
              <w:t>（1）项目的现状；</w:t>
            </w:r>
          </w:p>
          <w:p>
            <w:r>
              <w:rPr>
                <w:rFonts w:hint="eastAsia"/>
              </w:rPr>
              <w:t>（2）项目涉及部门的功能需求、业务需求；</w:t>
            </w:r>
          </w:p>
          <w:p>
            <w:r>
              <w:rPr>
                <w:rFonts w:hint="eastAsia"/>
              </w:rPr>
              <w:t>二、评分依据:</w:t>
            </w:r>
          </w:p>
          <w:p>
            <w:r>
              <w:rPr>
                <w:rFonts w:hint="eastAsia"/>
              </w:rPr>
              <w:t>1、投标人提供的方案包含以上两项的，得30分，缺少一项及以上不得分。</w:t>
            </w:r>
          </w:p>
          <w:p>
            <w:r>
              <w:rPr>
                <w:rFonts w:hint="eastAsia"/>
              </w:rPr>
              <w:t>2.在第1项的基础上，根据以下标准进行评价评分：</w:t>
            </w:r>
          </w:p>
          <w:p>
            <w:r>
              <w:rPr>
                <w:rFonts w:hint="eastAsia"/>
              </w:rPr>
              <w:t>（1）对项目现状了解清楚全面、涉及相关部门的需求分析理解透彻的，评价为优，加70分；</w:t>
            </w:r>
          </w:p>
          <w:p>
            <w:r>
              <w:rPr>
                <w:rFonts w:hint="eastAsia"/>
              </w:rPr>
              <w:t>（2）对项目现状了解一般、涉及相关部门的需求分析理解一般的，评价为良，加50分；</w:t>
            </w:r>
          </w:p>
          <w:p>
            <w:r>
              <w:rPr>
                <w:rFonts w:hint="eastAsia"/>
              </w:rPr>
              <w:t>（3）对项目现状了解较差、涉及相关部门的需求分析理解较差的，评价为差，加20分；</w:t>
            </w:r>
          </w:p>
          <w:p>
            <w:r>
              <w:rPr>
                <w:rFonts w:hint="eastAsia"/>
              </w:rPr>
              <w:t>（4）对项目现状和涉及相关部门的需求分析没有了解的，不得分。如果评审为差，要求专家书面说明理由，并记录在档。</w:t>
            </w:r>
          </w:p>
          <w:p>
            <w:r>
              <w:rPr>
                <w:rFonts w:hint="eastAsia" w:ascii="宋体" w:hAnsi="宋体" w:cs="宋体"/>
                <w:color w:val="000000"/>
                <w:kern w:val="0"/>
                <w:szCs w:val="21"/>
              </w:rPr>
              <w:t>以上2项得分累计，最高得100分。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0" w:type="auto"/>
            <w:vMerge w:val="continue"/>
            <w:vAlign w:val="center"/>
          </w:tcPr>
          <w:p/>
        </w:tc>
        <w:tc>
          <w:tcPr>
            <w:tcW w:w="0" w:type="auto"/>
            <w:noWrap/>
            <w:vAlign w:val="center"/>
          </w:tcPr>
          <w:p>
            <w:r>
              <w:rPr>
                <w:rFonts w:hint="eastAsia"/>
              </w:rPr>
              <w:t>4</w:t>
            </w:r>
          </w:p>
        </w:tc>
        <w:tc>
          <w:tcPr>
            <w:tcW w:w="0" w:type="auto"/>
            <w:vAlign w:val="center"/>
          </w:tcPr>
          <w:p>
            <w:r>
              <w:rPr>
                <w:rFonts w:hint="eastAsia"/>
              </w:rPr>
              <w:t>实施方案</w:t>
            </w:r>
          </w:p>
        </w:tc>
        <w:tc>
          <w:tcPr>
            <w:tcW w:w="0" w:type="auto"/>
            <w:vAlign w:val="center"/>
          </w:tcPr>
          <w:p>
            <w:r>
              <w:rPr>
                <w:rFonts w:hint="eastAsia"/>
              </w:rPr>
              <w:t>2</w:t>
            </w:r>
          </w:p>
        </w:tc>
        <w:tc>
          <w:tcPr>
            <w:tcW w:w="0" w:type="auto"/>
            <w:vAlign w:val="center"/>
          </w:tcPr>
          <w:p>
            <w:r>
              <w:rPr>
                <w:rFonts w:hint="eastAsia"/>
              </w:rPr>
              <w:t>一、评审标准：针对本项目的需求制定项目实施方案，内容包括但不限于：</w:t>
            </w:r>
            <w:r>
              <w:rPr>
                <w:rFonts w:hint="eastAsia"/>
              </w:rPr>
              <w:br w:type="textWrapping"/>
            </w:r>
            <w:r>
              <w:rPr>
                <w:rFonts w:hint="eastAsia"/>
              </w:rPr>
              <w:t>（1）施工进度计划（资源供应保障）、施工部署和准备工作；</w:t>
            </w:r>
            <w:r>
              <w:rPr>
                <w:rFonts w:hint="eastAsia"/>
              </w:rPr>
              <w:br w:type="textWrapping"/>
            </w:r>
            <w:r>
              <w:rPr>
                <w:rFonts w:hint="eastAsia"/>
              </w:rPr>
              <w:t>（2）质量保障措施；</w:t>
            </w:r>
            <w:r>
              <w:rPr>
                <w:rFonts w:hint="eastAsia"/>
              </w:rPr>
              <w:br w:type="textWrapping"/>
            </w:r>
            <w:r>
              <w:rPr>
                <w:rFonts w:hint="eastAsia"/>
              </w:rPr>
              <w:t>（3）实施团队人员安排。</w:t>
            </w:r>
            <w:r>
              <w:rPr>
                <w:rFonts w:hint="eastAsia"/>
              </w:rPr>
              <w:br w:type="textWrapping"/>
            </w:r>
            <w:r>
              <w:rPr>
                <w:rFonts w:hint="eastAsia"/>
              </w:rPr>
              <w:t>二、评分依据:</w:t>
            </w:r>
            <w:r>
              <w:rPr>
                <w:rFonts w:hint="eastAsia"/>
              </w:rPr>
              <w:br w:type="textWrapping"/>
            </w:r>
            <w:r>
              <w:rPr>
                <w:rFonts w:hint="eastAsia"/>
              </w:rPr>
              <w:t>1、投标人提供的方案包含以上三项的，得30分，缺少一项及以上不得分。</w:t>
            </w:r>
            <w:r>
              <w:rPr>
                <w:rFonts w:hint="eastAsia"/>
              </w:rPr>
              <w:br w:type="textWrapping"/>
            </w:r>
            <w:r>
              <w:rPr>
                <w:rFonts w:hint="eastAsia"/>
              </w:rPr>
              <w:t>2.在第1项的基础上，根据以下标准进行评价评分：</w:t>
            </w:r>
            <w:r>
              <w:rPr>
                <w:rFonts w:hint="eastAsia"/>
              </w:rPr>
              <w:br w:type="textWrapping"/>
            </w:r>
            <w:r>
              <w:rPr>
                <w:rFonts w:hint="eastAsia"/>
              </w:rPr>
              <w:t>（1）项目实施方案完善可行、内容全面具体、针对性强、可操作性强，评价为优，加70分；</w:t>
            </w:r>
            <w:r>
              <w:rPr>
                <w:rFonts w:hint="eastAsia"/>
              </w:rPr>
              <w:br w:type="textWrapping"/>
            </w:r>
            <w:r>
              <w:rPr>
                <w:rFonts w:hint="eastAsia"/>
              </w:rPr>
              <w:t>（2）项目实施方案内容完整性、针对性、可操作性均一般，评价为良，加50分；</w:t>
            </w:r>
            <w:r>
              <w:rPr>
                <w:rFonts w:hint="eastAsia"/>
              </w:rPr>
              <w:br w:type="textWrapping"/>
            </w:r>
            <w:r>
              <w:rPr>
                <w:rFonts w:hint="eastAsia"/>
              </w:rPr>
              <w:t>（3）项目实施方案方案内容基本全面，基本科学合理，针对性、可操作性一般的加30分；</w:t>
            </w:r>
            <w:r>
              <w:rPr>
                <w:rFonts w:hint="eastAsia"/>
              </w:rPr>
              <w:br w:type="textWrapping"/>
            </w:r>
            <w:r>
              <w:rPr>
                <w:rFonts w:hint="eastAsia"/>
              </w:rPr>
              <w:t>（4）项目实施方案内容不科学、不完整、针对性较弱，或未提供项目实施方案，评价为差，不得分。如果评审为差，要求专家书面说明理由，并记录在档。</w:t>
            </w:r>
            <w:r>
              <w:rPr>
                <w:rFonts w:hint="eastAsia"/>
              </w:rPr>
              <w:br w:type="textWrapping"/>
            </w:r>
            <w:r>
              <w:rPr>
                <w:rFonts w:hint="eastAsia"/>
              </w:rPr>
              <w:t>以上2项得分累计，最高得100分。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4" w:hRule="atLeast"/>
          <w:jc w:val="center"/>
        </w:trPr>
        <w:tc>
          <w:tcPr>
            <w:tcW w:w="0" w:type="auto"/>
            <w:vMerge w:val="continue"/>
            <w:vAlign w:val="center"/>
          </w:tcPr>
          <w:p/>
        </w:tc>
        <w:tc>
          <w:tcPr>
            <w:tcW w:w="0" w:type="auto"/>
            <w:noWrap/>
            <w:vAlign w:val="center"/>
          </w:tcPr>
          <w:p>
            <w:r>
              <w:rPr>
                <w:rFonts w:hint="eastAsia"/>
              </w:rPr>
              <w:t>5</w:t>
            </w:r>
          </w:p>
        </w:tc>
        <w:tc>
          <w:tcPr>
            <w:tcW w:w="0" w:type="auto"/>
            <w:vAlign w:val="center"/>
          </w:tcPr>
          <w:p>
            <w:r>
              <w:rPr>
                <w:rFonts w:hint="eastAsia"/>
              </w:rPr>
              <w:t>售后服务方案</w:t>
            </w:r>
          </w:p>
        </w:tc>
        <w:tc>
          <w:tcPr>
            <w:tcW w:w="0" w:type="auto"/>
            <w:vAlign w:val="center"/>
          </w:tcPr>
          <w:p>
            <w:r>
              <w:rPr>
                <w:rFonts w:hint="eastAsia"/>
              </w:rPr>
              <w:t>2</w:t>
            </w:r>
          </w:p>
        </w:tc>
        <w:tc>
          <w:tcPr>
            <w:tcW w:w="0" w:type="auto"/>
            <w:vAlign w:val="center"/>
          </w:tcPr>
          <w:p>
            <w:r>
              <w:rPr>
                <w:rFonts w:hint="eastAsia"/>
              </w:rPr>
              <w:t>一、评审标准：评审委员会根据供应商的售后服务方案进行打分。包括但不限于：</w:t>
            </w:r>
            <w:r>
              <w:rPr>
                <w:rFonts w:hint="eastAsia"/>
              </w:rPr>
              <w:br w:type="textWrapping"/>
            </w:r>
            <w:r>
              <w:rPr>
                <w:rFonts w:hint="eastAsia"/>
              </w:rPr>
              <w:t>（1）免费保修期限；</w:t>
            </w:r>
            <w:r>
              <w:rPr>
                <w:rFonts w:hint="eastAsia"/>
              </w:rPr>
              <w:br w:type="textWrapping"/>
            </w:r>
            <w:r>
              <w:rPr>
                <w:rFonts w:hint="eastAsia"/>
              </w:rPr>
              <w:t>（2）售后服务时间；</w:t>
            </w:r>
            <w:r>
              <w:rPr>
                <w:rFonts w:hint="eastAsia"/>
              </w:rPr>
              <w:br w:type="textWrapping"/>
            </w:r>
            <w:r>
              <w:rPr>
                <w:rFonts w:hint="eastAsia"/>
              </w:rPr>
              <w:t>（3）响应时间；</w:t>
            </w:r>
            <w:r>
              <w:rPr>
                <w:rFonts w:hint="eastAsia"/>
              </w:rPr>
              <w:br w:type="textWrapping"/>
            </w:r>
            <w:r>
              <w:rPr>
                <w:rFonts w:hint="eastAsia"/>
              </w:rPr>
              <w:t>（4）到场时间；</w:t>
            </w:r>
            <w:r>
              <w:rPr>
                <w:rFonts w:hint="eastAsia"/>
              </w:rPr>
              <w:br w:type="textWrapping"/>
            </w:r>
            <w:r>
              <w:rPr>
                <w:rFonts w:hint="eastAsia"/>
              </w:rPr>
              <w:t>（5）故障解决时间；</w:t>
            </w:r>
            <w:r>
              <w:rPr>
                <w:rFonts w:hint="eastAsia"/>
              </w:rPr>
              <w:br w:type="textWrapping"/>
            </w:r>
            <w:r>
              <w:rPr>
                <w:rFonts w:hint="eastAsia"/>
              </w:rPr>
              <w:t>（6）保修维修时间；</w:t>
            </w:r>
            <w:r>
              <w:rPr>
                <w:rFonts w:hint="eastAsia"/>
              </w:rPr>
              <w:br w:type="textWrapping"/>
            </w:r>
            <w:r>
              <w:rPr>
                <w:rFonts w:hint="eastAsia"/>
              </w:rPr>
              <w:t xml:space="preserve">（7）培训计划。 </w:t>
            </w:r>
            <w:r>
              <w:rPr>
                <w:rFonts w:hint="eastAsia"/>
              </w:rPr>
              <w:br w:type="textWrapping"/>
            </w:r>
            <w:r>
              <w:rPr>
                <w:rFonts w:hint="eastAsia"/>
              </w:rPr>
              <w:t>（二）评审依据：</w:t>
            </w:r>
            <w:r>
              <w:rPr>
                <w:rFonts w:hint="eastAsia"/>
              </w:rPr>
              <w:br w:type="textWrapping"/>
            </w:r>
            <w:r>
              <w:rPr>
                <w:rFonts w:hint="eastAsia"/>
              </w:rPr>
              <w:t>以上内容每提供一项得10分，最高得70分，未提供或提供的不符合要求不得分。在此基础上，专家根据各投标人的具体响应内容按照量化的评审因素指标进一步评审：</w:t>
            </w:r>
            <w:r>
              <w:rPr>
                <w:rFonts w:hint="eastAsia"/>
              </w:rPr>
              <w:br w:type="textWrapping"/>
            </w:r>
            <w:r>
              <w:rPr>
                <w:rFonts w:hint="eastAsia"/>
              </w:rPr>
              <w:t>（1）评审为优：方案内容全面，科学合理，针对性强，可操作性强的加30分；</w:t>
            </w:r>
            <w:r>
              <w:rPr>
                <w:rFonts w:hint="eastAsia"/>
              </w:rPr>
              <w:br w:type="textWrapping"/>
            </w:r>
            <w:r>
              <w:rPr>
                <w:rFonts w:hint="eastAsia"/>
              </w:rPr>
              <w:t>（2）评审为良：方案内容较全面，比较科学合理，针对性、可操作性较强的加20分；</w:t>
            </w:r>
            <w:r>
              <w:rPr>
                <w:rFonts w:hint="eastAsia"/>
              </w:rPr>
              <w:br w:type="textWrapping"/>
            </w:r>
            <w:r>
              <w:rPr>
                <w:rFonts w:hint="eastAsia"/>
              </w:rPr>
              <w:t>（3）评审为中：方案内容基本全面，基本科学合理，针对性、可操作性一般的加10分；</w:t>
            </w:r>
            <w:r>
              <w:rPr>
                <w:rFonts w:hint="eastAsia"/>
              </w:rPr>
              <w:br w:type="textWrapping"/>
            </w:r>
            <w:r>
              <w:rPr>
                <w:rFonts w:hint="eastAsia"/>
              </w:rPr>
              <w:t>（4）评审为差：方案内容不全面，不科学合理，针对性、可操作性差的加0分；如果评审为差，专家应当书面说明理由，并记录在档。如果评审为差，要求专家书面说明理由，并记录在档。</w:t>
            </w:r>
            <w:r>
              <w:rPr>
                <w:rFonts w:hint="eastAsia"/>
              </w:rPr>
              <w:br w:type="textWrapping"/>
            </w:r>
            <w:r>
              <w:rPr>
                <w:rFonts w:hint="eastAsia"/>
              </w:rPr>
              <w:t>以上得分累计，最高得100分。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vAlign w:val="center"/>
          </w:tcPr>
          <w:p/>
        </w:tc>
        <w:tc>
          <w:tcPr>
            <w:tcW w:w="0" w:type="auto"/>
            <w:noWrap/>
            <w:vAlign w:val="center"/>
          </w:tcPr>
          <w:p>
            <w:r>
              <w:rPr>
                <w:rFonts w:hint="eastAsia"/>
              </w:rPr>
              <w:t>6</w:t>
            </w:r>
          </w:p>
        </w:tc>
        <w:tc>
          <w:tcPr>
            <w:tcW w:w="0" w:type="auto"/>
            <w:vAlign w:val="center"/>
          </w:tcPr>
          <w:p>
            <w:r>
              <w:rPr>
                <w:rFonts w:hint="eastAsia"/>
              </w:rPr>
              <w:t>拟安排的项目负责人情况(仅限一人)</w:t>
            </w:r>
          </w:p>
        </w:tc>
        <w:tc>
          <w:tcPr>
            <w:tcW w:w="0" w:type="auto"/>
            <w:vAlign w:val="center"/>
          </w:tcPr>
          <w:p>
            <w:r>
              <w:rPr>
                <w:rFonts w:hint="eastAsia"/>
              </w:rPr>
              <w:t>4</w:t>
            </w:r>
          </w:p>
        </w:tc>
        <w:tc>
          <w:tcPr>
            <w:tcW w:w="0" w:type="auto"/>
            <w:vAlign w:val="center"/>
          </w:tcPr>
          <w:p>
            <w:r>
              <w:rPr>
                <w:rFonts w:hint="eastAsia"/>
              </w:rPr>
              <w:t>拟安排的项目负责人为投标人自有员工，否则不得分，在此基础上：</w:t>
            </w:r>
            <w:r>
              <w:rPr>
                <w:rFonts w:hint="eastAsia"/>
              </w:rPr>
              <w:br w:type="textWrapping"/>
            </w:r>
            <w:r>
              <w:rPr>
                <w:rFonts w:hint="eastAsia"/>
              </w:rPr>
              <w:t xml:space="preserve">1、具有硕士研究生（或以上）学历的得30分，其余情况不得分； </w:t>
            </w:r>
            <w:r>
              <w:rPr>
                <w:rFonts w:hint="eastAsia"/>
              </w:rPr>
              <w:br w:type="textWrapping"/>
            </w:r>
            <w:r>
              <w:rPr>
                <w:rFonts w:hint="eastAsia"/>
              </w:rPr>
              <w:t>2、具有人社部门或工信部门颁发的计算机技术与软件专业技术资格证书（级别：高级，专业：信息系统项目管理师）的得25分，其余情况不得分；</w:t>
            </w:r>
            <w:r>
              <w:rPr>
                <w:rFonts w:hint="eastAsia"/>
              </w:rPr>
              <w:br w:type="textWrapping"/>
            </w:r>
            <w:r>
              <w:rPr>
                <w:rFonts w:hint="eastAsia"/>
              </w:rPr>
              <w:t>3、具有注册信息安全工程师（CISP）得25分，其余情况不得分；</w:t>
            </w:r>
            <w:r>
              <w:rPr>
                <w:rFonts w:hint="eastAsia"/>
              </w:rPr>
              <w:br w:type="textWrapping"/>
            </w:r>
            <w:r>
              <w:rPr>
                <w:rFonts w:hint="eastAsia"/>
              </w:rPr>
              <w:t>4、以项目负责人或项目经理身份承接过：行政机关或事业单位委托的信息化项目，每提供1项得10分，本项最高得20分。</w:t>
            </w:r>
            <w:r>
              <w:rPr>
                <w:rFonts w:hint="eastAsia"/>
              </w:rPr>
              <w:br w:type="textWrapping"/>
            </w:r>
            <w:r>
              <w:rPr>
                <w:rFonts w:hint="eastAsia"/>
              </w:rPr>
              <w:t>注：以上1-4项合计最高得100分。</w:t>
            </w:r>
            <w:r>
              <w:rPr>
                <w:rFonts w:hint="eastAsia"/>
              </w:rPr>
              <w:br w:type="textWrapping"/>
            </w:r>
            <w:r>
              <w:rPr>
                <w:rFonts w:hint="eastAsia"/>
              </w:rPr>
              <w:t>证明文件：</w:t>
            </w:r>
            <w:r>
              <w:rPr>
                <w:rFonts w:hint="eastAsia"/>
              </w:rPr>
              <w:br w:type="textWrapping"/>
            </w:r>
            <w:r>
              <w:rPr>
                <w:rFonts w:hint="eastAsia"/>
              </w:rPr>
              <w:t>1、</w:t>
            </w:r>
            <w:r>
              <w:rPr>
                <w:rFonts w:hint="eastAsia" w:asciiTheme="minorEastAsia" w:hAnsiTheme="minorEastAsia" w:eastAsiaTheme="minorEastAsia" w:cstheme="minorEastAsia"/>
              </w:rPr>
              <w:t>要求提供通过投标人缴纳的2023年12月、2024年1月、2月中的任意一个月的社保证明作为本单位员工的证明依据。若供应商成立不足三个月的，需提供成立情况说明函（格式自拟），无需提供相关人员社保，亦可得分。若为退休返聘人员，需提供说明函（格式自拟），无需提供相关人员社保，亦可得分。否则此项不得分。</w:t>
            </w:r>
            <w:r>
              <w:rPr>
                <w:rFonts w:hint="eastAsia"/>
              </w:rPr>
              <w:br w:type="textWrapping"/>
            </w:r>
            <w:r>
              <w:rPr>
                <w:rFonts w:hint="eastAsia"/>
              </w:rPr>
              <w:t>2、第1项提供毕业证书及学历信息在学信网查询结果截图（https://www.chsi.com.cn/xlcx/index.jsp），由于日期较早无法查询的，需提供毕业院校或者人社部门出具的证明，国外学历证书提供教育部留学服务中心出具的国外学历认证书以及教育部留学服务中心官网查询截图（查询网址http://zwfw.cscse.edu.cn/）；</w:t>
            </w:r>
            <w:r>
              <w:rPr>
                <w:rFonts w:hint="eastAsia"/>
              </w:rPr>
              <w:br w:type="textWrapping"/>
            </w:r>
            <w:r>
              <w:t>3</w:t>
            </w:r>
            <w:r>
              <w:rPr>
                <w:rFonts w:hint="eastAsia"/>
              </w:rPr>
              <w:t>、第2-3项提供证书扫描件；</w:t>
            </w:r>
            <w:r>
              <w:rPr>
                <w:rFonts w:hint="eastAsia"/>
              </w:rPr>
              <w:br w:type="textWrapping"/>
            </w:r>
            <w:r>
              <w:t>4</w:t>
            </w:r>
            <w:r>
              <w:rPr>
                <w:rFonts w:hint="eastAsia"/>
              </w:rPr>
              <w:t>、第4项提供合同关键页扫描件，若合同无法提现相关信息，还需提供合同甲方出具的其他证明文件扫描件。</w:t>
            </w:r>
            <w:r>
              <w:rPr>
                <w:rFonts w:hint="eastAsia"/>
              </w:rPr>
              <w:br w:type="textWrapping"/>
            </w:r>
            <w:r>
              <w:rPr>
                <w:rFonts w:hint="eastAsia"/>
              </w:rPr>
              <w:t>注：未提供或未按要求提供或提供的不清晰导致专家无法判断的，不得分。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0" w:type="auto"/>
            <w:vMerge w:val="continue"/>
            <w:vAlign w:val="center"/>
          </w:tcPr>
          <w:p/>
        </w:tc>
        <w:tc>
          <w:tcPr>
            <w:tcW w:w="0" w:type="auto"/>
            <w:noWrap/>
            <w:vAlign w:val="center"/>
          </w:tcPr>
          <w:p>
            <w:r>
              <w:rPr>
                <w:rFonts w:hint="eastAsia"/>
              </w:rPr>
              <w:t>7</w:t>
            </w:r>
          </w:p>
        </w:tc>
        <w:tc>
          <w:tcPr>
            <w:tcW w:w="0" w:type="auto"/>
            <w:vAlign w:val="center"/>
          </w:tcPr>
          <w:p>
            <w:r>
              <w:rPr>
                <w:rFonts w:hint="eastAsia"/>
              </w:rPr>
              <w:t>拟安排的项目主要管理团队成员(含主要技术人员)情况(项目负责人除外)</w:t>
            </w:r>
          </w:p>
        </w:tc>
        <w:tc>
          <w:tcPr>
            <w:tcW w:w="0" w:type="auto"/>
            <w:vAlign w:val="center"/>
          </w:tcPr>
          <w:p>
            <w:r>
              <w:rPr>
                <w:rFonts w:hint="eastAsia"/>
              </w:rPr>
              <w:t>5</w:t>
            </w:r>
          </w:p>
        </w:tc>
        <w:tc>
          <w:tcPr>
            <w:tcW w:w="0" w:type="auto"/>
            <w:vAlign w:val="center"/>
          </w:tcPr>
          <w:p>
            <w:pPr>
              <w:rPr>
                <w:rFonts w:hint="eastAsia"/>
              </w:rPr>
            </w:pPr>
            <w:r>
              <w:rPr>
                <w:rFonts w:hint="eastAsia" w:ascii="宋体" w:hAnsi="宋体"/>
                <w:szCs w:val="21"/>
              </w:rPr>
              <w:t>拟安排项目主要团队成员为投标单位员工</w:t>
            </w:r>
            <w:r>
              <w:rPr>
                <w:rFonts w:hint="eastAsia" w:ascii="宋体" w:hAnsi="宋体"/>
                <w:szCs w:val="21"/>
                <w:lang w:eastAsia="zh-CN"/>
              </w:rPr>
              <w:t>（</w:t>
            </w:r>
            <w:r>
              <w:rPr>
                <w:rFonts w:hint="eastAsia" w:ascii="宋体" w:hAnsi="宋体"/>
                <w:szCs w:val="21"/>
                <w:lang w:val="en-US" w:eastAsia="zh-CN"/>
              </w:rPr>
              <w:t>以社保为准</w:t>
            </w:r>
            <w:r>
              <w:rPr>
                <w:rFonts w:hint="eastAsia" w:ascii="宋体" w:hAnsi="宋体"/>
                <w:szCs w:val="21"/>
                <w:lang w:eastAsia="zh-CN"/>
              </w:rPr>
              <w:t>）</w:t>
            </w:r>
            <w:r>
              <w:rPr>
                <w:rFonts w:hint="eastAsia" w:ascii="宋体" w:hAnsi="宋体"/>
                <w:szCs w:val="21"/>
              </w:rPr>
              <w:t>，否则该人员情况不计分。</w:t>
            </w:r>
          </w:p>
          <w:p>
            <w:r>
              <w:rPr>
                <w:rFonts w:hint="eastAsia"/>
              </w:rPr>
              <w:t>1、主要管理技术团队</w:t>
            </w:r>
            <w:r>
              <w:rPr>
                <w:rFonts w:hint="eastAsia"/>
                <w:lang w:val="en-US" w:eastAsia="zh-CN"/>
              </w:rPr>
              <w:t>人员中</w:t>
            </w:r>
            <w:r>
              <w:rPr>
                <w:rFonts w:hint="eastAsia"/>
              </w:rPr>
              <w:t>具有人社部门或工信部门颁发的计算机技术与软件专业技术资格证书（级别：高级，专业：信息系统项目管理师）的，每提供1人得5分，最高得15分；</w:t>
            </w:r>
            <w:r>
              <w:rPr>
                <w:rFonts w:hint="eastAsia"/>
              </w:rPr>
              <w:br w:type="textWrapping"/>
            </w:r>
            <w:r>
              <w:rPr>
                <w:rFonts w:hint="eastAsia"/>
              </w:rPr>
              <w:t>2、具有人社部门或工信部门颁发的计算机技术与软件专业技术资格证书（级别：高级，专业：系统架构设计师）的，每提供1人得5分，最高得15分；</w:t>
            </w:r>
          </w:p>
          <w:p>
            <w:r>
              <w:rPr>
                <w:rFonts w:hint="eastAsia"/>
              </w:rPr>
              <w:t>3、具有人社部门与工信部门颁发的计算机技术与软件专业技术资格证书【专业：系统分析师（原系统分析员），级别：高级】的，每提供1人得10分，最高得10分；</w:t>
            </w:r>
          </w:p>
          <w:p>
            <w:r>
              <w:rPr>
                <w:rFonts w:hint="eastAsia"/>
              </w:rPr>
              <w:t>4、具有人社部门或工信部门颁发的计算机技术与软件专业技术资格证书（级别：中级，专业：网络工程师）的，每提供1人得5分，最高得10分；</w:t>
            </w:r>
            <w:r>
              <w:rPr>
                <w:rFonts w:hint="eastAsia"/>
              </w:rPr>
              <w:br w:type="textWrapping"/>
            </w:r>
            <w:r>
              <w:rPr>
                <w:rFonts w:hint="eastAsia"/>
              </w:rPr>
              <w:br w:type="textWrapping"/>
            </w:r>
            <w:r>
              <w:rPr>
                <w:rFonts w:hint="eastAsia"/>
              </w:rPr>
              <w:t>5、具备IT服务管理证书（ITIL），每提供1人得5分，最高得15分。</w:t>
            </w:r>
            <w:r>
              <w:rPr>
                <w:rFonts w:hint="eastAsia"/>
              </w:rPr>
              <w:br w:type="textWrapping"/>
            </w:r>
            <w:r>
              <w:rPr>
                <w:rFonts w:hint="eastAsia"/>
              </w:rPr>
              <w:t>6、具备IT服务项目经理证书（ITSS）每提供1人得5分，最高得15分。</w:t>
            </w:r>
            <w:r>
              <w:rPr>
                <w:rFonts w:hint="eastAsia"/>
              </w:rPr>
              <w:br w:type="textWrapping"/>
            </w:r>
            <w:r>
              <w:rPr>
                <w:rFonts w:hint="eastAsia"/>
              </w:rPr>
              <w:t>7、具备由中国信息安全认证中心颁发的信息安全保障人员（CISAW）证书，每提供1人得5分，最高得</w:t>
            </w:r>
            <w:r>
              <w:t>10</w:t>
            </w:r>
            <w:r>
              <w:rPr>
                <w:rFonts w:hint="eastAsia"/>
              </w:rPr>
              <w:t>分；</w:t>
            </w:r>
            <w:r>
              <w:rPr>
                <w:rFonts w:hint="eastAsia"/>
              </w:rPr>
              <w:br w:type="textWrapping"/>
            </w:r>
            <w:r>
              <w:rPr>
                <w:rFonts w:hint="eastAsia"/>
              </w:rPr>
              <w:t>8、具有中国信息安全测评中心颁发的注册信息安全专业人员（CISP）的，每提供1人得5分，最高得10分。</w:t>
            </w:r>
            <w:r>
              <w:rPr>
                <w:rFonts w:hint="eastAsia"/>
              </w:rPr>
              <w:br w:type="textWrapping"/>
            </w:r>
            <w:r>
              <w:rPr>
                <w:rFonts w:hint="eastAsia"/>
              </w:rPr>
              <w:t>以上内容累计最高得100分。一人具有多项证书的，不重复计分；</w:t>
            </w:r>
            <w:r>
              <w:rPr>
                <w:rFonts w:hint="eastAsia"/>
              </w:rPr>
              <w:br w:type="textWrapping"/>
            </w:r>
            <w:r>
              <w:rPr>
                <w:rFonts w:hint="eastAsia"/>
              </w:rPr>
              <w:t>证明文件：</w:t>
            </w:r>
            <w:r>
              <w:rPr>
                <w:rFonts w:hint="eastAsia"/>
              </w:rPr>
              <w:br w:type="textWrapping"/>
            </w:r>
            <w:r>
              <w:rPr>
                <w:rFonts w:hint="eastAsia"/>
              </w:rPr>
              <w:t>1、</w:t>
            </w:r>
            <w:r>
              <w:rPr>
                <w:rFonts w:hint="eastAsia" w:asciiTheme="minorEastAsia" w:hAnsiTheme="minorEastAsia" w:eastAsiaTheme="minorEastAsia" w:cstheme="minorEastAsia"/>
              </w:rPr>
              <w:t>要求提供通过投标人缴纳的2023年12月、2024年1月、2月中的任意一个月的社保证明作为本单位员工的证明依据。若供应商成立不足三个月的，需提供成立情况说明函（格式自拟），无需提供相关人员社保，亦可得分。若为退休返聘人员，需提供说明函（格式自拟），无需提供相关人员社保，亦可得分。否则此项不得分。</w:t>
            </w:r>
            <w:r>
              <w:rPr>
                <w:rFonts w:hint="eastAsia"/>
              </w:rPr>
              <w:br w:type="textWrapping"/>
            </w:r>
            <w:r>
              <w:rPr>
                <w:rFonts w:hint="eastAsia"/>
              </w:rPr>
              <w:t>2、提供证书扫描件；</w:t>
            </w:r>
            <w:r>
              <w:rPr>
                <w:rFonts w:hint="eastAsia"/>
              </w:rPr>
              <w:br w:type="textWrapping"/>
            </w:r>
            <w:r>
              <w:rPr>
                <w:rFonts w:hint="eastAsia"/>
              </w:rPr>
              <w:t>注：未提供或未按要求提供或提供的不清晰导致专家无法判断的，不得分。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0" w:type="auto"/>
            <w:vMerge w:val="restart"/>
            <w:vAlign w:val="center"/>
          </w:tcPr>
          <w:p>
            <w:r>
              <w:rPr>
                <w:rFonts w:hint="eastAsia"/>
              </w:rPr>
              <w:t>3</w:t>
            </w:r>
          </w:p>
        </w:tc>
        <w:tc>
          <w:tcPr>
            <w:tcW w:w="0" w:type="auto"/>
            <w:gridSpan w:val="3"/>
            <w:noWrap/>
            <w:vAlign w:val="center"/>
          </w:tcPr>
          <w:p>
            <w:r>
              <w:rPr>
                <w:rFonts w:hint="eastAsia"/>
              </w:rPr>
              <w:t>综合实力</w:t>
            </w:r>
          </w:p>
        </w:tc>
        <w:tc>
          <w:tcPr>
            <w:tcW w:w="0" w:type="auto"/>
            <w:vAlign w:val="center"/>
          </w:tcPr>
          <w:p>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vAlign w:val="center"/>
          </w:tcPr>
          <w:p/>
        </w:tc>
        <w:tc>
          <w:tcPr>
            <w:tcW w:w="0" w:type="auto"/>
            <w:noWrap/>
            <w:vAlign w:val="center"/>
          </w:tcPr>
          <w:p>
            <w:r>
              <w:rPr>
                <w:rFonts w:hint="eastAsia"/>
              </w:rPr>
              <w:t>序号</w:t>
            </w:r>
          </w:p>
        </w:tc>
        <w:tc>
          <w:tcPr>
            <w:tcW w:w="0" w:type="auto"/>
            <w:vAlign w:val="center"/>
          </w:tcPr>
          <w:p>
            <w:r>
              <w:rPr>
                <w:rFonts w:hint="eastAsia"/>
              </w:rPr>
              <w:t>评分因素</w:t>
            </w:r>
          </w:p>
        </w:tc>
        <w:tc>
          <w:tcPr>
            <w:tcW w:w="0" w:type="auto"/>
            <w:vAlign w:val="center"/>
          </w:tcPr>
          <w:p>
            <w:r>
              <w:rPr>
                <w:rFonts w:hint="eastAsia"/>
              </w:rPr>
              <w:t>权重（%）</w:t>
            </w:r>
          </w:p>
        </w:tc>
        <w:tc>
          <w:tcPr>
            <w:tcW w:w="0" w:type="auto"/>
            <w:noWrap/>
            <w:vAlign w:val="center"/>
          </w:tcPr>
          <w:p>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0" w:type="auto"/>
            <w:vMerge w:val="continue"/>
            <w:vAlign w:val="center"/>
          </w:tcPr>
          <w:p/>
        </w:tc>
        <w:tc>
          <w:tcPr>
            <w:tcW w:w="0" w:type="auto"/>
            <w:noWrap/>
            <w:vAlign w:val="center"/>
          </w:tcPr>
          <w:p>
            <w:r>
              <w:rPr>
                <w:rFonts w:hint="eastAsia"/>
              </w:rPr>
              <w:t>1</w:t>
            </w:r>
          </w:p>
        </w:tc>
        <w:tc>
          <w:tcPr>
            <w:tcW w:w="0" w:type="auto"/>
            <w:vAlign w:val="center"/>
          </w:tcPr>
          <w:p>
            <w:r>
              <w:rPr>
                <w:rFonts w:hint="eastAsia"/>
              </w:rPr>
              <w:t>供应商认证情况</w:t>
            </w:r>
          </w:p>
        </w:tc>
        <w:tc>
          <w:tcPr>
            <w:tcW w:w="0" w:type="auto"/>
            <w:vAlign w:val="center"/>
          </w:tcPr>
          <w:p>
            <w:pPr>
              <w:rPr>
                <w:color w:val="000000"/>
              </w:rPr>
            </w:pPr>
            <w:r>
              <w:rPr>
                <w:rFonts w:hint="eastAsia"/>
              </w:rPr>
              <w:t>4</w:t>
            </w:r>
          </w:p>
        </w:tc>
        <w:tc>
          <w:tcPr>
            <w:tcW w:w="0" w:type="auto"/>
            <w:vAlign w:val="center"/>
          </w:tcPr>
          <w:p>
            <w:r>
              <w:rPr>
                <w:rFonts w:hint="eastAsia"/>
              </w:rPr>
              <w:t>一、投标人具备以下认证证书：</w:t>
            </w:r>
          </w:p>
          <w:p>
            <w:r>
              <w:rPr>
                <w:rFonts w:hint="eastAsia"/>
              </w:rPr>
              <w:t>（1）质量管理体系认证证书；</w:t>
            </w:r>
          </w:p>
          <w:p>
            <w:r>
              <w:rPr>
                <w:rFonts w:hint="eastAsia"/>
              </w:rPr>
              <w:t>（2）环境管理体系认证证书；</w:t>
            </w:r>
          </w:p>
          <w:p>
            <w:r>
              <w:rPr>
                <w:rFonts w:hint="eastAsia"/>
              </w:rPr>
              <w:t>（3）职业健康安全管理体系。</w:t>
            </w:r>
          </w:p>
          <w:p>
            <w:r>
              <w:rPr>
                <w:rFonts w:hint="eastAsia"/>
              </w:rPr>
              <w:t>以上3项证书每提供1项得1</w:t>
            </w:r>
            <w:r>
              <w:t>0</w:t>
            </w:r>
            <w:r>
              <w:rPr>
                <w:rFonts w:hint="eastAsia"/>
              </w:rPr>
              <w:t>分，本项最高得</w:t>
            </w:r>
            <w:r>
              <w:t>30</w:t>
            </w:r>
            <w:r>
              <w:rPr>
                <w:rFonts w:hint="eastAsia"/>
              </w:rPr>
              <w:t>分；</w:t>
            </w:r>
          </w:p>
          <w:p>
            <w:r>
              <w:rPr>
                <w:rFonts w:hint="eastAsia"/>
              </w:rPr>
              <w:t>二、投标人具备以下认证证书：</w:t>
            </w:r>
          </w:p>
          <w:p>
            <w:r>
              <w:rPr>
                <w:rFonts w:hint="eastAsia"/>
              </w:rPr>
              <w:t>（1）信息技术服务认证（ITSS）二级（或以上）的得</w:t>
            </w:r>
            <w:r>
              <w:t>20</w:t>
            </w:r>
            <w:r>
              <w:rPr>
                <w:rFonts w:hint="eastAsia"/>
              </w:rPr>
              <w:t>分，二级以下的得</w:t>
            </w:r>
            <w:r>
              <w:t>10</w:t>
            </w:r>
            <w:r>
              <w:rPr>
                <w:rFonts w:hint="eastAsia"/>
              </w:rPr>
              <w:t>分，不具备认证的不得分；</w:t>
            </w:r>
          </w:p>
          <w:p>
            <w:r>
              <w:rPr>
                <w:rFonts w:hint="eastAsia"/>
              </w:rPr>
              <w:t>（</w:t>
            </w:r>
            <w:r>
              <w:t>2</w:t>
            </w:r>
            <w:r>
              <w:rPr>
                <w:rFonts w:hint="eastAsia"/>
              </w:rPr>
              <w:t>）</w:t>
            </w:r>
            <w:r>
              <w:rPr>
                <w:rFonts w:hint="eastAsia"/>
                <w:lang w:val="en-US" w:eastAsia="zh-CN"/>
              </w:rPr>
              <w:t>中国信息安全 评测中心</w:t>
            </w:r>
            <w:r>
              <w:rPr>
                <w:rFonts w:hint="eastAsia"/>
              </w:rPr>
              <w:t>颁发的《信息安全服务资质证书》（安全开发类一级）的得</w:t>
            </w:r>
            <w:r>
              <w:t>30</w:t>
            </w:r>
            <w:r>
              <w:rPr>
                <w:rFonts w:hint="eastAsia"/>
              </w:rPr>
              <w:t>分，一级以下的得1</w:t>
            </w:r>
            <w:r>
              <w:t>5</w:t>
            </w:r>
            <w:r>
              <w:rPr>
                <w:rFonts w:hint="eastAsia"/>
              </w:rPr>
              <w:t>分，不具备证书的不得分；</w:t>
            </w:r>
          </w:p>
          <w:p>
            <w:r>
              <w:rPr>
                <w:rFonts w:hint="eastAsia"/>
              </w:rPr>
              <w:t>（</w:t>
            </w:r>
            <w:r>
              <w:t>3</w:t>
            </w:r>
            <w:r>
              <w:rPr>
                <w:rFonts w:hint="eastAsia"/>
              </w:rPr>
              <w:t>）由电子信息行业相关协会颁发的《信息系统建设和服务能力等级（CS4）证书》（或以上）的得</w:t>
            </w:r>
            <w:r>
              <w:t>20</w:t>
            </w:r>
            <w:r>
              <w:rPr>
                <w:rFonts w:hint="eastAsia"/>
              </w:rPr>
              <w:t>分，等级（CS4）以下的得</w:t>
            </w:r>
            <w:r>
              <w:t>10</w:t>
            </w:r>
            <w:r>
              <w:rPr>
                <w:rFonts w:hint="eastAsia"/>
              </w:rPr>
              <w:t>分。</w:t>
            </w:r>
          </w:p>
          <w:p>
            <w:r>
              <w:rPr>
                <w:rFonts w:hint="eastAsia"/>
              </w:rPr>
              <w:t>以上</w:t>
            </w:r>
            <w:r>
              <w:t>3</w:t>
            </w:r>
            <w:r>
              <w:rPr>
                <w:rFonts w:hint="eastAsia"/>
              </w:rPr>
              <w:t>项证书最高得70分；</w:t>
            </w:r>
          </w:p>
          <w:p>
            <w:r>
              <w:rPr>
                <w:rFonts w:hint="eastAsia"/>
              </w:rPr>
              <w:t>注：以上合计最高得100分。</w:t>
            </w:r>
          </w:p>
          <w:p>
            <w:r>
              <w:rPr>
                <w:rFonts w:hint="eastAsia"/>
              </w:rPr>
              <w:t>证明文件：</w:t>
            </w:r>
          </w:p>
          <w:p>
            <w:r>
              <w:rPr>
                <w:rFonts w:hint="eastAsia"/>
              </w:rPr>
              <w:t>1、第一项1-3提供有效期内的体系认证证书扫描件及在全国认证认可信息公共服务平台（认e云）（http://cx.cnca.cn/CertECloud/index/index/page）查询有效的截图；</w:t>
            </w:r>
          </w:p>
          <w:p>
            <w:r>
              <w:rPr>
                <w:rFonts w:hint="eastAsia"/>
              </w:rPr>
              <w:t>2、第二项1-</w:t>
            </w:r>
            <w:r>
              <w:t>3</w:t>
            </w:r>
            <w:r>
              <w:rPr>
                <w:rFonts w:hint="eastAsia"/>
              </w:rPr>
              <w:t>提供证书扫描件。</w:t>
            </w:r>
          </w:p>
          <w:p>
            <w:pPr>
              <w:rPr>
                <w:rFonts w:hint="eastAsia"/>
              </w:rPr>
            </w:pPr>
            <w:r>
              <w:rPr>
                <w:rFonts w:hint="eastAsia"/>
              </w:rPr>
              <w:t>注：未提供或未按要求提供或提供的不清晰导致专家无法判断的，不得分。</w:t>
            </w:r>
          </w:p>
          <w:p>
            <w:pPr>
              <w:pStyle w:val="18"/>
              <w:rPr>
                <w:rFonts w:hint="eastAsia" w:eastAsia="宋体"/>
                <w:lang w:val="en-US" w:eastAsia="zh-CN"/>
              </w:rPr>
            </w:pPr>
            <w:r>
              <w:rPr>
                <w:rFonts w:hint="eastAsia"/>
                <w:b w:val="0"/>
                <w:bCs w:val="0"/>
                <w:sz w:val="21"/>
                <w:lang w:val="en-US" w:eastAsia="zh-CN"/>
              </w:rPr>
              <w:t>3、</w:t>
            </w:r>
            <w:r>
              <w:rPr>
                <w:rFonts w:hint="eastAsia" w:ascii="Times New Roman" w:hAnsi="Times New Roman" w:eastAsia="宋体" w:cs="Times New Roman"/>
                <w:b w:val="0"/>
                <w:bCs w:val="0"/>
                <w:sz w:val="21"/>
                <w:szCs w:val="24"/>
              </w:rPr>
              <w:t>由社会组织颁发的证书，还需同时提供该组织在“中国社会组织政务服务平台（全国社会组织信用信息公示平台）https://chinanpo.mca.gov.cn/”的查询截图（截图需体现网址且状态为正常），否则该证书不得分。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0" w:type="auto"/>
            <w:vMerge w:val="continue"/>
            <w:vAlign w:val="center"/>
          </w:tcPr>
          <w:p/>
        </w:tc>
        <w:tc>
          <w:tcPr>
            <w:tcW w:w="636" w:type="dxa"/>
            <w:noWrap/>
            <w:vAlign w:val="center"/>
          </w:tcPr>
          <w:p>
            <w:pPr>
              <w:rPr>
                <w:rFonts w:hint="eastAsia"/>
              </w:rPr>
            </w:pPr>
            <w:r>
              <w:rPr>
                <w:rFonts w:hint="eastAsia"/>
                <w:lang w:val="en-US" w:eastAsia="zh-CN"/>
              </w:rPr>
              <w:t>2</w:t>
            </w:r>
          </w:p>
        </w:tc>
        <w:tc>
          <w:tcPr>
            <w:tcW w:w="860" w:type="dxa"/>
            <w:vAlign w:val="center"/>
          </w:tcPr>
          <w:p>
            <w:pPr>
              <w:rPr>
                <w:rFonts w:hint="eastAsia"/>
              </w:rPr>
            </w:pPr>
            <w:r>
              <w:rPr>
                <w:rFonts w:hint="eastAsia"/>
                <w:szCs w:val="21"/>
              </w:rPr>
              <w:t>奖项</w:t>
            </w:r>
          </w:p>
        </w:tc>
        <w:tc>
          <w:tcPr>
            <w:tcW w:w="861" w:type="dxa"/>
            <w:vAlign w:val="center"/>
          </w:tcPr>
          <w:p>
            <w:pPr>
              <w:rPr>
                <w:rFonts w:hint="eastAsia"/>
              </w:rPr>
            </w:pPr>
            <w:r>
              <w:t>1</w:t>
            </w:r>
          </w:p>
        </w:tc>
        <w:tc>
          <w:tcPr>
            <w:tcW w:w="6609" w:type="dxa"/>
            <w:vAlign w:val="center"/>
          </w:tcPr>
          <w:p>
            <w:r>
              <w:rPr>
                <w:rFonts w:hint="eastAsia"/>
              </w:rPr>
              <w:t>考察内容：</w:t>
            </w:r>
          </w:p>
          <w:p>
            <w:r>
              <w:rPr>
                <w:rFonts w:hint="eastAsia"/>
              </w:rPr>
              <w:t>20</w:t>
            </w:r>
            <w:r>
              <w:t>20</w:t>
            </w:r>
            <w:r>
              <w:rPr>
                <w:rFonts w:hint="eastAsia"/>
              </w:rPr>
              <w:t>年</w:t>
            </w:r>
            <w:r>
              <w:t>1</w:t>
            </w:r>
            <w:r>
              <w:rPr>
                <w:rFonts w:hint="eastAsia"/>
              </w:rPr>
              <w:t>月1日起至本项目投标截止之日（以</w:t>
            </w:r>
            <w:r>
              <w:rPr>
                <w:rFonts w:hint="eastAsia"/>
                <w:lang w:val="en-US" w:eastAsia="zh-CN"/>
              </w:rPr>
              <w:t>以有效证明材料落款时间为准</w:t>
            </w:r>
            <w:r>
              <w:rPr>
                <w:rFonts w:hint="eastAsia"/>
              </w:rPr>
              <w:t>为准）：</w:t>
            </w:r>
          </w:p>
          <w:p>
            <w:r>
              <w:rPr>
                <w:rFonts w:hint="eastAsia"/>
              </w:rPr>
              <w:t>1、投标人获得由省级（或以上）行政机关颁发的科技类奖项，每提供1个得</w:t>
            </w:r>
            <w:r>
              <w:t>10</w:t>
            </w:r>
            <w:r>
              <w:rPr>
                <w:rFonts w:hint="eastAsia"/>
              </w:rPr>
              <w:t>0分，最高得100分；</w:t>
            </w:r>
          </w:p>
          <w:p>
            <w:r>
              <w:rPr>
                <w:rFonts w:hint="eastAsia"/>
              </w:rPr>
              <w:t>注：本项最高得100分。</w:t>
            </w:r>
          </w:p>
          <w:p>
            <w:r>
              <w:rPr>
                <w:rFonts w:hint="eastAsia"/>
              </w:rPr>
              <w:t>证明文件：</w:t>
            </w:r>
          </w:p>
          <w:p>
            <w:r>
              <w:rPr>
                <w:rFonts w:hint="eastAsia"/>
              </w:rPr>
              <w:t>要求提供奖项照片或获奖（荣誉）证书扫描件。</w:t>
            </w:r>
          </w:p>
          <w:p>
            <w:pPr>
              <w:rPr>
                <w:rFonts w:hint="eastAsia"/>
              </w:rPr>
            </w:pPr>
            <w:r>
              <w:rPr>
                <w:rFonts w:hint="eastAsia"/>
              </w:rPr>
              <w:t>注：未提供或未按要求提供或提供的不清晰导致专家无法判断的，不得分。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0" w:type="auto"/>
            <w:vMerge w:val="continue"/>
            <w:vAlign w:val="center"/>
          </w:tcPr>
          <w:p/>
        </w:tc>
        <w:tc>
          <w:tcPr>
            <w:tcW w:w="0" w:type="auto"/>
            <w:noWrap/>
            <w:vAlign w:val="center"/>
          </w:tcPr>
          <w:p>
            <w:r>
              <w:rPr>
                <w:rFonts w:hint="eastAsia"/>
                <w:lang w:val="en-US" w:eastAsia="zh-CN"/>
              </w:rPr>
              <w:t>3</w:t>
            </w:r>
          </w:p>
        </w:tc>
        <w:tc>
          <w:tcPr>
            <w:tcW w:w="0" w:type="auto"/>
            <w:vAlign w:val="center"/>
          </w:tcPr>
          <w:p>
            <w:pPr>
              <w:rPr>
                <w:rFonts w:cs="宋体"/>
                <w:color w:val="000000"/>
                <w:kern w:val="0"/>
              </w:rPr>
            </w:pPr>
            <w:r>
              <w:rPr>
                <w:rFonts w:hint="eastAsia"/>
              </w:rPr>
              <w:t>供应商同类业绩</w:t>
            </w:r>
          </w:p>
        </w:tc>
        <w:tc>
          <w:tcPr>
            <w:tcW w:w="0" w:type="auto"/>
            <w:vAlign w:val="center"/>
          </w:tcPr>
          <w:p>
            <w:r>
              <w:rPr>
                <w:rFonts w:hint="eastAsia"/>
              </w:rPr>
              <w:t>4</w:t>
            </w:r>
          </w:p>
        </w:tc>
        <w:tc>
          <w:tcPr>
            <w:tcW w:w="0" w:type="auto"/>
            <w:vAlign w:val="center"/>
          </w:tcPr>
          <w:p>
            <w:r>
              <w:rPr>
                <w:rFonts w:hint="eastAsia"/>
              </w:rPr>
              <w:t>考察内容：</w:t>
            </w:r>
          </w:p>
          <w:p>
            <w:pPr>
              <w:rPr>
                <w:rFonts w:hint="eastAsia" w:eastAsia="宋体"/>
                <w:kern w:val="2"/>
                <w:sz w:val="21"/>
                <w:szCs w:val="24"/>
                <w:lang w:val="en-US" w:eastAsia="zh-CN" w:bidi="ar-SA"/>
              </w:rPr>
            </w:pPr>
            <w:r>
              <w:rPr>
                <w:rFonts w:eastAsia="宋体"/>
                <w:kern w:val="2"/>
                <w:sz w:val="21"/>
                <w:szCs w:val="24"/>
                <w:lang w:val="en-US" w:eastAsia="zh-CN" w:bidi="ar-SA"/>
              </w:rPr>
              <w:t>投标人自2021年1月1日至本项目投标截止日（以合同签订日期为准），具备行政机关或事业单位委托的：</w:t>
            </w:r>
          </w:p>
          <w:p>
            <w:pPr>
              <w:rPr>
                <w:rFonts w:hint="eastAsia" w:eastAsia="宋体"/>
                <w:kern w:val="2"/>
                <w:sz w:val="21"/>
                <w:szCs w:val="24"/>
                <w:lang w:val="en-US" w:eastAsia="zh-CN" w:bidi="ar-SA"/>
              </w:rPr>
            </w:pPr>
            <w:r>
              <w:rPr>
                <w:rFonts w:hint="eastAsia" w:ascii="Times New Roman" w:hAnsi="Times New Roman" w:eastAsia="宋体" w:cs="Times New Roman"/>
                <w:kern w:val="2"/>
                <w:sz w:val="21"/>
                <w:szCs w:val="24"/>
                <w:lang w:val="en-US" w:eastAsia="zh-CN" w:bidi="ar-SA"/>
              </w:rPr>
              <w:t>1.</w:t>
            </w:r>
            <w:r>
              <w:rPr>
                <w:rFonts w:eastAsia="宋体"/>
                <w:kern w:val="2"/>
                <w:sz w:val="21"/>
                <w:szCs w:val="24"/>
                <w:lang w:val="en-US" w:eastAsia="zh-CN" w:bidi="ar-SA"/>
              </w:rPr>
              <w:t>具有政务信息化机房或政务相关云基础环境搭建项目经验的，每提供1个业绩得20分；本项最高得40分</w:t>
            </w:r>
          </w:p>
          <w:p>
            <w:pPr>
              <w:rPr>
                <w:rFonts w:hint="eastAsia" w:eastAsia="宋体"/>
                <w:kern w:val="2"/>
                <w:sz w:val="21"/>
                <w:szCs w:val="24"/>
                <w:lang w:val="en-US" w:eastAsia="zh-CN" w:bidi="ar-SA"/>
              </w:rPr>
            </w:pPr>
            <w:r>
              <w:rPr>
                <w:rFonts w:hint="eastAsia" w:ascii="Times New Roman" w:hAnsi="Times New Roman" w:eastAsia="宋体" w:cs="Times New Roman"/>
                <w:kern w:val="2"/>
                <w:sz w:val="21"/>
                <w:szCs w:val="24"/>
                <w:lang w:val="en-US" w:eastAsia="zh-CN" w:bidi="ar-SA"/>
              </w:rPr>
              <w:t>2.</w:t>
            </w:r>
            <w:r>
              <w:rPr>
                <w:rFonts w:eastAsia="宋体"/>
                <w:kern w:val="2"/>
                <w:sz w:val="21"/>
                <w:szCs w:val="24"/>
                <w:lang w:val="en-US" w:eastAsia="zh-CN" w:bidi="ar-SA"/>
              </w:rPr>
              <w:t>具有指挥中心或应急指挥</w:t>
            </w:r>
            <w:r>
              <w:rPr>
                <w:rFonts w:ascii="Times New Roman" w:hAnsi="Times New Roman" w:eastAsia="宋体" w:cs="Times New Roman"/>
                <w:kern w:val="2"/>
                <w:sz w:val="21"/>
                <w:szCs w:val="24"/>
                <w:lang w:val="en-US" w:eastAsia="zh-CN" w:bidi="ar-SA"/>
              </w:rPr>
              <w:t>中心</w:t>
            </w:r>
            <w:r>
              <w:rPr>
                <w:rFonts w:eastAsia="宋体"/>
                <w:kern w:val="2"/>
                <w:sz w:val="21"/>
                <w:szCs w:val="24"/>
                <w:lang w:val="en-US" w:eastAsia="zh-CN" w:bidi="ar-SA"/>
              </w:rPr>
              <w:t>或指挥调度</w:t>
            </w:r>
            <w:r>
              <w:rPr>
                <w:rFonts w:ascii="Times New Roman" w:hAnsi="Times New Roman" w:eastAsia="宋体" w:cs="Times New Roman"/>
                <w:kern w:val="2"/>
                <w:sz w:val="21"/>
                <w:szCs w:val="24"/>
                <w:lang w:val="en-US" w:eastAsia="zh-CN" w:bidi="ar-SA"/>
              </w:rPr>
              <w:t>中心</w:t>
            </w:r>
            <w:r>
              <w:rPr>
                <w:rFonts w:eastAsia="宋体"/>
                <w:kern w:val="2"/>
                <w:sz w:val="21"/>
                <w:szCs w:val="24"/>
                <w:lang w:val="en-US" w:eastAsia="zh-CN" w:bidi="ar-SA"/>
              </w:rPr>
              <w:t>项目经验的，每提供1个业绩得20分；本项最高得40分</w:t>
            </w:r>
          </w:p>
          <w:p>
            <w:pPr>
              <w:rPr>
                <w:rFonts w:hint="eastAsia" w:eastAsia="宋体"/>
                <w:kern w:val="2"/>
                <w:sz w:val="21"/>
                <w:szCs w:val="24"/>
                <w:lang w:val="en-US" w:eastAsia="zh-CN" w:bidi="ar-SA"/>
              </w:rPr>
            </w:pPr>
            <w:r>
              <w:rPr>
                <w:rFonts w:hint="eastAsia" w:ascii="Times New Roman" w:hAnsi="Times New Roman" w:eastAsia="宋体" w:cs="Times New Roman"/>
                <w:kern w:val="2"/>
                <w:sz w:val="21"/>
                <w:szCs w:val="24"/>
                <w:lang w:val="en-US" w:eastAsia="zh-CN" w:bidi="ar-SA"/>
              </w:rPr>
              <w:t>3.</w:t>
            </w:r>
            <w:r>
              <w:rPr>
                <w:rFonts w:eastAsia="宋体"/>
                <w:kern w:val="2"/>
                <w:sz w:val="21"/>
                <w:szCs w:val="24"/>
                <w:lang w:val="en-US" w:eastAsia="zh-CN" w:bidi="ar-SA"/>
              </w:rPr>
              <w:t>具有信息安全相关项目经验的，每提供1个业绩得20分；本项最高得20分</w:t>
            </w:r>
          </w:p>
          <w:p>
            <w:r>
              <w:rPr>
                <w:rFonts w:eastAsia="宋体"/>
                <w:kern w:val="2"/>
                <w:sz w:val="21"/>
                <w:szCs w:val="24"/>
                <w:lang w:val="en-US" w:eastAsia="zh-CN" w:bidi="ar-SA"/>
              </w:rPr>
              <w:t>以上合计最高得100分</w:t>
            </w:r>
            <w:r>
              <w:rPr>
                <w:rFonts w:hint="eastAsia"/>
                <w:lang w:eastAsia="zh-CN"/>
              </w:rPr>
              <w:t>，</w:t>
            </w:r>
            <w:r>
              <w:rPr>
                <w:rFonts w:hint="eastAsia"/>
              </w:rPr>
              <w:t>一个项目合同符合多项要求的</w:t>
            </w:r>
            <w:r>
              <w:rPr>
                <w:rFonts w:hint="eastAsia"/>
                <w:lang w:val="en-US" w:eastAsia="zh-CN"/>
              </w:rPr>
              <w:t>按照得分最高的项计算</w:t>
            </w:r>
            <w:r>
              <w:rPr>
                <w:rFonts w:eastAsia="宋体"/>
                <w:kern w:val="2"/>
                <w:sz w:val="21"/>
                <w:szCs w:val="24"/>
                <w:lang w:val="en-US" w:eastAsia="zh-CN" w:bidi="ar-SA"/>
              </w:rPr>
              <w:t>。不提供的不得分。</w:t>
            </w:r>
            <w:r>
              <w:cr/>
            </w:r>
            <w:r>
              <w:rPr>
                <w:rFonts w:hint="eastAsia"/>
              </w:rPr>
              <w:t>证明文件：</w:t>
            </w:r>
          </w:p>
          <w:p>
            <w:r>
              <w:rPr>
                <w:rFonts w:hint="eastAsia"/>
              </w:rPr>
              <w:t>需提供相关合同扫描件及项目验收资料，履约验收未完成业绩不可得分。若合同中无法体现合同签订时间、项目经验类型等评审内容时，须同时提供业主单位（合同甲方）出具的证明材料加以明确说明，未提供或提供不全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0" w:type="auto"/>
            <w:vMerge w:val="continue"/>
            <w:vAlign w:val="center"/>
          </w:tcPr>
          <w:p/>
        </w:tc>
        <w:tc>
          <w:tcPr>
            <w:tcW w:w="0" w:type="auto"/>
            <w:noWrap/>
            <w:vAlign w:val="center"/>
          </w:tcPr>
          <w:p>
            <w:r>
              <w:t>4</w:t>
            </w:r>
          </w:p>
        </w:tc>
        <w:tc>
          <w:tcPr>
            <w:tcW w:w="0" w:type="auto"/>
            <w:vAlign w:val="center"/>
          </w:tcPr>
          <w:p>
            <w:r>
              <w:rPr>
                <w:rFonts w:hint="eastAsia"/>
              </w:rPr>
              <w:t>服务网点</w:t>
            </w:r>
          </w:p>
        </w:tc>
        <w:tc>
          <w:tcPr>
            <w:tcW w:w="0" w:type="auto"/>
            <w:vAlign w:val="center"/>
          </w:tcPr>
          <w:p>
            <w:r>
              <w:t>1</w:t>
            </w:r>
          </w:p>
        </w:tc>
        <w:tc>
          <w:tcPr>
            <w:tcW w:w="0" w:type="auto"/>
            <w:vAlign w:val="center"/>
          </w:tcPr>
          <w:p>
            <w:r>
              <w:rPr>
                <w:rFonts w:hint="eastAsia"/>
              </w:rPr>
              <w:t>（一）评分内容：</w:t>
            </w:r>
          </w:p>
          <w:p>
            <w:r>
              <w:rPr>
                <w:rFonts w:hint="eastAsia"/>
              </w:rPr>
              <w:t>供应商承诺中标后提供本地经营（服务）网点的，得100分。</w:t>
            </w:r>
          </w:p>
          <w:p>
            <w:r>
              <w:rPr>
                <w:rFonts w:hint="eastAsia"/>
              </w:rPr>
              <w:t>（二）评分依据:</w:t>
            </w:r>
          </w:p>
          <w:p>
            <w:pPr>
              <w:rPr>
                <w:rFonts w:ascii="宋体" w:hAnsi="宋体" w:cs="宋体"/>
                <w:color w:val="000000"/>
                <w:kern w:val="0"/>
              </w:rPr>
            </w:pPr>
            <w:r>
              <w:rPr>
                <w:rFonts w:hint="eastAsia"/>
              </w:rPr>
              <w:t>要求提供承诺函（格式详见采购文件投标文件正文（信息公开部分）-服务网点-承诺函）作为得分依据，未按采购文件要求提供承诺函的不得分。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0" w:type="auto"/>
            <w:vMerge w:val="restart"/>
            <w:vAlign w:val="center"/>
          </w:tcPr>
          <w:p>
            <w:r>
              <w:rPr>
                <w:rFonts w:hint="eastAsia"/>
              </w:rPr>
              <w:t>4</w:t>
            </w:r>
          </w:p>
        </w:tc>
        <w:tc>
          <w:tcPr>
            <w:tcW w:w="0" w:type="auto"/>
            <w:gridSpan w:val="3"/>
            <w:noWrap/>
            <w:vAlign w:val="center"/>
          </w:tcPr>
          <w:p>
            <w:r>
              <w:rPr>
                <w:rFonts w:hint="eastAsia"/>
              </w:rPr>
              <w:t>诚信情况</w:t>
            </w:r>
          </w:p>
        </w:tc>
        <w:tc>
          <w:tcPr>
            <w:tcW w:w="0" w:type="auto"/>
            <w:vAlign w:val="center"/>
          </w:tcPr>
          <w:p>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0" w:type="auto"/>
            <w:vMerge w:val="continue"/>
            <w:vAlign w:val="center"/>
          </w:tcPr>
          <w:p/>
        </w:tc>
        <w:tc>
          <w:tcPr>
            <w:tcW w:w="0" w:type="auto"/>
            <w:noWrap/>
            <w:vAlign w:val="center"/>
          </w:tcPr>
          <w:p>
            <w:r>
              <w:rPr>
                <w:rFonts w:hint="eastAsia"/>
              </w:rPr>
              <w:t>序号</w:t>
            </w:r>
          </w:p>
        </w:tc>
        <w:tc>
          <w:tcPr>
            <w:tcW w:w="0" w:type="auto"/>
            <w:vAlign w:val="center"/>
          </w:tcPr>
          <w:p>
            <w:r>
              <w:rPr>
                <w:rFonts w:hint="eastAsia"/>
              </w:rPr>
              <w:t>评分因素</w:t>
            </w:r>
          </w:p>
        </w:tc>
        <w:tc>
          <w:tcPr>
            <w:tcW w:w="0" w:type="auto"/>
            <w:vAlign w:val="center"/>
          </w:tcPr>
          <w:p>
            <w:r>
              <w:rPr>
                <w:rFonts w:hint="eastAsia"/>
              </w:rPr>
              <w:t>权重（%）</w:t>
            </w:r>
          </w:p>
        </w:tc>
        <w:tc>
          <w:tcPr>
            <w:tcW w:w="0" w:type="auto"/>
            <w:noWrap/>
            <w:vAlign w:val="center"/>
          </w:tcPr>
          <w:p>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0" w:type="auto"/>
            <w:vMerge w:val="continue"/>
            <w:vAlign w:val="center"/>
          </w:tcPr>
          <w:p/>
        </w:tc>
        <w:tc>
          <w:tcPr>
            <w:tcW w:w="0" w:type="auto"/>
            <w:noWrap/>
            <w:vAlign w:val="center"/>
          </w:tcPr>
          <w:p>
            <w:r>
              <w:rPr>
                <w:rFonts w:hint="eastAsia"/>
              </w:rPr>
              <w:t>1</w:t>
            </w:r>
          </w:p>
        </w:tc>
        <w:tc>
          <w:tcPr>
            <w:tcW w:w="0" w:type="auto"/>
            <w:vAlign w:val="center"/>
          </w:tcPr>
          <w:p>
            <w:r>
              <w:rPr>
                <w:rFonts w:hint="eastAsia"/>
              </w:rPr>
              <w:t>诚信</w:t>
            </w:r>
          </w:p>
        </w:tc>
        <w:tc>
          <w:tcPr>
            <w:tcW w:w="0" w:type="auto"/>
            <w:vAlign w:val="center"/>
          </w:tcPr>
          <w:p>
            <w:r>
              <w:rPr>
                <w:rFonts w:hint="eastAsia"/>
              </w:rPr>
              <w:t>5</w:t>
            </w:r>
          </w:p>
        </w:tc>
        <w:tc>
          <w:tcPr>
            <w:tcW w:w="0" w:type="auto"/>
            <w:vAlign w:val="center"/>
          </w:tcPr>
          <w:p>
            <w:r>
              <w:rPr>
                <w:rFonts w:hint="eastAsia"/>
              </w:rPr>
              <w:t>投标人在参与政府采购活动中存在诚信相关问题且在主管部门相关处理措施实施期限内的，本项不得分，否则得100分。投标人无需提供任何证明材料，由工作人员向评审委员会提供相关信息。</w:t>
            </w:r>
          </w:p>
        </w:tc>
      </w:tr>
    </w:tbl>
    <w:p>
      <w:pPr>
        <w:pStyle w:val="19"/>
        <w:sectPr>
          <w:footerReference r:id="rId3" w:type="default"/>
          <w:footerReference r:id="rId4" w:type="even"/>
          <w:pgSz w:w="11907" w:h="16840"/>
          <w:pgMar w:top="1440" w:right="1418" w:bottom="1440" w:left="1418" w:header="851" w:footer="992" w:gutter="0"/>
          <w:cols w:space="425" w:num="1"/>
          <w:titlePg/>
          <w:docGrid w:linePitch="462" w:charSpace="0"/>
        </w:sectPr>
      </w:pPr>
    </w:p>
    <w:p/>
    <w:p/>
    <w:p>
      <w:pPr>
        <w:jc w:val="cente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
    <w:p/>
    <w:p/>
    <w:p/>
    <w:p/>
    <w:p/>
    <w:p>
      <w:pPr>
        <w:jc w:val="center"/>
        <w:rPr>
          <w:b/>
          <w:sz w:val="44"/>
          <w:szCs w:val="44"/>
        </w:rPr>
      </w:pPr>
      <w:bookmarkStart w:id="2" w:name="_Hlk71465316"/>
      <w:r>
        <w:rPr>
          <w:rFonts w:hint="eastAsia"/>
          <w:b/>
          <w:sz w:val="44"/>
          <w:szCs w:val="44"/>
        </w:rPr>
        <w:t>深圳公共资源交易中心</w:t>
      </w:r>
    </w:p>
    <w:bookmarkEnd w:id="2"/>
    <w:p>
      <w:pPr>
        <w:jc w:val="center"/>
        <w:rPr>
          <w:rFonts w:hint="eastAsia" w:eastAsia="宋体"/>
          <w:b/>
          <w:sz w:val="44"/>
          <w:szCs w:val="44"/>
          <w:lang w:eastAsia="zh-CN"/>
        </w:rPr>
      </w:pPr>
      <w:r>
        <w:rPr>
          <w:rFonts w:hint="eastAsia"/>
          <w:b/>
          <w:sz w:val="44"/>
          <w:szCs w:val="44"/>
          <w:lang w:eastAsia="zh-CN"/>
        </w:rPr>
        <w:t>（2024年）</w:t>
      </w:r>
    </w:p>
    <w:p>
      <w:pPr>
        <w:ind w:firstLine="435"/>
        <w:jc w:val="left"/>
      </w:pPr>
    </w:p>
    <w:p>
      <w:pPr>
        <w:widowControl/>
        <w:jc w:val="left"/>
      </w:pPr>
      <w:r>
        <w:br w:type="page"/>
      </w:r>
    </w:p>
    <w:p>
      <w:pPr>
        <w:ind w:firstLine="4216" w:firstLineChars="1500"/>
        <w:rPr>
          <w:rFonts w:ascii="宋体" w:hAnsi="宋体"/>
          <w:color w:val="FF0000"/>
          <w:szCs w:val="21"/>
        </w:rPr>
      </w:pPr>
      <w:bookmarkStart w:id="3" w:name="_Hlk72218009"/>
      <w:r>
        <w:rPr>
          <w:rFonts w:hint="eastAsia" w:ascii="宋体" w:hAnsi="宋体" w:eastAsia="黑体"/>
          <w:b/>
          <w:bCs/>
          <w:color w:val="FF0000"/>
          <w:kern w:val="44"/>
          <w:sz w:val="28"/>
          <w:szCs w:val="44"/>
        </w:rPr>
        <w:t>警示条款</w:t>
      </w:r>
    </w:p>
    <w:p>
      <w:pPr>
        <w:ind w:firstLine="400" w:firstLineChars="200"/>
        <w:rPr>
          <w:rFonts w:ascii="宋体" w:hAnsi="宋体"/>
          <w:color w:val="FF0000"/>
          <w:sz w:val="20"/>
          <w:szCs w:val="20"/>
        </w:rPr>
      </w:pPr>
    </w:p>
    <w:p>
      <w:pPr>
        <w:ind w:firstLine="400" w:firstLineChars="200"/>
        <w:rPr>
          <w:rFonts w:ascii="宋体" w:hAnsi="宋体"/>
          <w:color w:val="FF0000"/>
          <w:sz w:val="20"/>
          <w:szCs w:val="20"/>
        </w:rPr>
      </w:pPr>
      <w:r>
        <w:rPr>
          <w:rFonts w:hint="eastAsia" w:ascii="宋体" w:hAnsi="宋体"/>
          <w:color w:val="FF0000"/>
          <w:sz w:val="20"/>
          <w:szCs w:val="20"/>
        </w:rPr>
        <w:t>一、</w:t>
      </w:r>
      <w:r>
        <w:rPr>
          <w:rFonts w:hint="eastAsia" w:ascii="宋体" w:hAnsi="宋体"/>
          <w:b/>
          <w:bCs/>
          <w:color w:val="FF0000"/>
          <w:sz w:val="20"/>
          <w:szCs w:val="20"/>
        </w:rPr>
        <w:t>《深圳经济特区政府采购条例》第五十七条</w:t>
      </w:r>
      <w:r>
        <w:rPr>
          <w:rFonts w:hint="eastAsia" w:ascii="宋体" w:hAnsi="宋体"/>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00" w:firstLineChars="200"/>
        <w:rPr>
          <w:rFonts w:ascii="宋体" w:hAnsi="宋体"/>
          <w:color w:val="FF0000"/>
          <w:sz w:val="20"/>
          <w:szCs w:val="20"/>
        </w:rPr>
      </w:pPr>
      <w:r>
        <w:rPr>
          <w:rFonts w:hint="eastAsia" w:ascii="宋体" w:hAnsi="宋体"/>
          <w:color w:val="FF0000"/>
          <w:sz w:val="20"/>
          <w:szCs w:val="20"/>
        </w:rPr>
        <w:t>（一）在采购活动中应当回避而未回避的；</w:t>
      </w:r>
    </w:p>
    <w:p>
      <w:pPr>
        <w:ind w:firstLine="400" w:firstLineChars="200"/>
        <w:rPr>
          <w:rFonts w:ascii="宋体" w:hAnsi="宋体"/>
          <w:color w:val="FF0000"/>
          <w:sz w:val="20"/>
          <w:szCs w:val="20"/>
        </w:rPr>
      </w:pPr>
      <w:r>
        <w:rPr>
          <w:rFonts w:hint="eastAsia" w:ascii="宋体" w:hAnsi="宋体"/>
          <w:color w:val="FF0000"/>
          <w:sz w:val="20"/>
          <w:szCs w:val="20"/>
        </w:rPr>
        <w:t>（二）未按本条例规定签订、履行采购合同，造成严重后果的；</w:t>
      </w:r>
    </w:p>
    <w:p>
      <w:pPr>
        <w:ind w:firstLine="400" w:firstLineChars="200"/>
        <w:rPr>
          <w:rFonts w:ascii="宋体" w:hAnsi="宋体"/>
          <w:color w:val="FF0000"/>
          <w:sz w:val="20"/>
          <w:szCs w:val="20"/>
        </w:rPr>
      </w:pPr>
      <w:r>
        <w:rPr>
          <w:rFonts w:hint="eastAsia" w:ascii="宋体" w:hAnsi="宋体"/>
          <w:color w:val="FF0000"/>
          <w:sz w:val="20"/>
          <w:szCs w:val="20"/>
        </w:rPr>
        <w:t>（三）隐瞒真实情况，提供虚假资料的；</w:t>
      </w:r>
    </w:p>
    <w:p>
      <w:pPr>
        <w:ind w:firstLine="400" w:firstLineChars="200"/>
        <w:rPr>
          <w:rFonts w:ascii="宋体" w:hAnsi="宋体"/>
          <w:color w:val="FF0000"/>
          <w:sz w:val="20"/>
          <w:szCs w:val="20"/>
        </w:rPr>
      </w:pPr>
      <w:r>
        <w:rPr>
          <w:rFonts w:hint="eastAsia" w:ascii="宋体" w:hAnsi="宋体"/>
          <w:color w:val="FF0000"/>
          <w:sz w:val="20"/>
          <w:szCs w:val="20"/>
        </w:rPr>
        <w:t>（四）以非法手段排斥其他供应商参与竞争的；</w:t>
      </w:r>
    </w:p>
    <w:p>
      <w:pPr>
        <w:ind w:firstLine="400" w:firstLineChars="200"/>
        <w:rPr>
          <w:rFonts w:ascii="宋体" w:hAnsi="宋体"/>
          <w:color w:val="FF0000"/>
          <w:sz w:val="20"/>
          <w:szCs w:val="20"/>
        </w:rPr>
      </w:pPr>
      <w:r>
        <w:rPr>
          <w:rFonts w:hint="eastAsia" w:ascii="宋体" w:hAnsi="宋体"/>
          <w:color w:val="FF0000"/>
          <w:sz w:val="20"/>
          <w:szCs w:val="20"/>
        </w:rPr>
        <w:t>（五）与其他采购参加人串通投标的；</w:t>
      </w:r>
    </w:p>
    <w:p>
      <w:pPr>
        <w:ind w:firstLine="400" w:firstLineChars="200"/>
        <w:rPr>
          <w:rFonts w:ascii="宋体" w:hAnsi="宋体"/>
          <w:color w:val="FF0000"/>
          <w:sz w:val="20"/>
          <w:szCs w:val="20"/>
        </w:rPr>
      </w:pPr>
      <w:r>
        <w:rPr>
          <w:rFonts w:hint="eastAsia" w:ascii="宋体" w:hAnsi="宋体"/>
          <w:color w:val="FF0000"/>
          <w:sz w:val="20"/>
          <w:szCs w:val="20"/>
        </w:rPr>
        <w:t>（六）恶意投诉的；</w:t>
      </w:r>
    </w:p>
    <w:p>
      <w:pPr>
        <w:ind w:firstLine="400" w:firstLineChars="200"/>
        <w:rPr>
          <w:rFonts w:ascii="宋体" w:hAnsi="宋体"/>
          <w:color w:val="FF0000"/>
          <w:sz w:val="20"/>
          <w:szCs w:val="20"/>
        </w:rPr>
      </w:pPr>
      <w:r>
        <w:rPr>
          <w:rFonts w:hint="eastAsia" w:ascii="宋体" w:hAnsi="宋体"/>
          <w:color w:val="FF0000"/>
          <w:sz w:val="20"/>
          <w:szCs w:val="20"/>
        </w:rPr>
        <w:t>（七）向采购项目相关人行贿或者提供其他不当利益的；</w:t>
      </w:r>
    </w:p>
    <w:p>
      <w:pPr>
        <w:ind w:firstLine="400" w:firstLineChars="200"/>
        <w:rPr>
          <w:rFonts w:ascii="宋体" w:hAnsi="宋体"/>
          <w:color w:val="FF0000"/>
          <w:sz w:val="20"/>
          <w:szCs w:val="20"/>
        </w:rPr>
      </w:pPr>
      <w:r>
        <w:rPr>
          <w:rFonts w:hint="eastAsia" w:ascii="宋体" w:hAnsi="宋体"/>
          <w:color w:val="FF0000"/>
          <w:sz w:val="20"/>
          <w:szCs w:val="20"/>
        </w:rPr>
        <w:t>（八）阻碍、抗拒主管部门监督检查的；</w:t>
      </w:r>
    </w:p>
    <w:p>
      <w:pPr>
        <w:ind w:firstLine="400" w:firstLineChars="200"/>
        <w:rPr>
          <w:rFonts w:ascii="宋体" w:hAnsi="宋体"/>
          <w:color w:val="FF0000"/>
          <w:sz w:val="20"/>
          <w:szCs w:val="20"/>
        </w:rPr>
      </w:pPr>
      <w:r>
        <w:rPr>
          <w:rFonts w:hint="eastAsia" w:ascii="宋体" w:hAnsi="宋体"/>
          <w:color w:val="FF0000"/>
          <w:sz w:val="20"/>
          <w:szCs w:val="20"/>
        </w:rPr>
        <w:t>（九）其他违反本条例规定的行为。</w:t>
      </w:r>
    </w:p>
    <w:p>
      <w:pPr>
        <w:ind w:firstLine="402" w:firstLineChars="200"/>
        <w:rPr>
          <w:rFonts w:ascii="宋体" w:hAnsi="宋体"/>
          <w:color w:val="FF0000"/>
          <w:sz w:val="20"/>
          <w:szCs w:val="20"/>
        </w:rPr>
      </w:pPr>
      <w:r>
        <w:rPr>
          <w:rFonts w:hint="eastAsia" w:ascii="宋体" w:hAnsi="宋体"/>
          <w:b/>
          <w:bCs/>
          <w:color w:val="FF0000"/>
          <w:sz w:val="20"/>
          <w:szCs w:val="20"/>
        </w:rPr>
        <w:t>二、《深圳经济特区政府采购条例实施细则》第七十五条 </w:t>
      </w:r>
      <w:r>
        <w:rPr>
          <w:rFonts w:hint="eastAsia" w:ascii="宋体" w:hAnsi="宋体"/>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ind w:firstLine="402" w:firstLineChars="200"/>
        <w:rPr>
          <w:rFonts w:ascii="宋体" w:hAnsi="宋体"/>
          <w:color w:val="FF0000"/>
          <w:sz w:val="20"/>
          <w:szCs w:val="20"/>
        </w:rPr>
      </w:pPr>
      <w:r>
        <w:rPr>
          <w:rFonts w:hint="eastAsia" w:ascii="宋体" w:hAnsi="宋体"/>
          <w:b/>
          <w:bCs/>
          <w:color w:val="FF0000"/>
          <w:sz w:val="20"/>
          <w:szCs w:val="20"/>
        </w:rPr>
        <w:t>三、《深圳经济特区政府采购条例实施细则》第七十七条 </w:t>
      </w:r>
      <w:r>
        <w:rPr>
          <w:rFonts w:hint="eastAsia" w:ascii="宋体" w:hAnsi="宋体"/>
          <w:color w:val="FF0000"/>
          <w:sz w:val="20"/>
          <w:szCs w:val="20"/>
        </w:rPr>
        <w:t>供应商有下列情形之一的，属于隐瞒真实情况，提供虚假资料，按照采购条例第五十七条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ind w:firstLine="400" w:firstLineChars="200"/>
        <w:rPr>
          <w:rFonts w:ascii="宋体" w:hAnsi="宋体"/>
          <w:color w:val="FF0000"/>
          <w:sz w:val="20"/>
          <w:szCs w:val="20"/>
        </w:rPr>
      </w:pPr>
      <w:r>
        <w:rPr>
          <w:rFonts w:hint="eastAsia" w:ascii="宋体" w:hAnsi="宋体"/>
          <w:color w:val="FF0000"/>
          <w:sz w:val="20"/>
          <w:szCs w:val="20"/>
        </w:rPr>
        <w:t>投标供应商不能提供项目负责人或者主要技术人员的劳动合同、社会保险等劳动关系证明材料的，视为存在前款第（三）项规定的情形。</w:t>
      </w:r>
    </w:p>
    <w:p>
      <w:pPr>
        <w:ind w:firstLine="400" w:firstLineChars="200"/>
        <w:rPr>
          <w:rFonts w:ascii="宋体" w:hAnsi="宋体"/>
          <w:color w:val="FF0000"/>
          <w:sz w:val="20"/>
          <w:szCs w:val="20"/>
        </w:rPr>
      </w:pPr>
      <w:r>
        <w:rPr>
          <w:rFonts w:hint="eastAsia" w:ascii="宋体" w:hAnsi="宋体"/>
          <w:color w:val="FF0000"/>
          <w:sz w:val="20"/>
          <w:szCs w:val="20"/>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w:t>
      </w:r>
      <w:r>
        <w:rPr>
          <w:rFonts w:hint="eastAsia" w:ascii="宋体" w:hAnsi="宋体"/>
          <w:color w:val="FF0000"/>
          <w:sz w:val="20"/>
          <w:szCs w:val="20"/>
        </w:rPr>
        <w:br w:type="textWrapping"/>
      </w:r>
      <w:r>
        <w:rPr>
          <w:rFonts w:hint="eastAsia" w:ascii="宋体" w:hAnsi="宋体"/>
          <w:color w:val="FF0000"/>
          <w:sz w:val="20"/>
          <w:szCs w:val="20"/>
        </w:rPr>
        <w:t>注：该风险知悉确认书用于对供应商违法行为的警示，不作为供应商资格性审查及符合性审查条件。</w:t>
      </w:r>
    </w:p>
    <w:p>
      <w:pPr>
        <w:ind w:firstLine="400" w:firstLineChars="200"/>
      </w:pPr>
      <w:r>
        <w:rPr>
          <w:rFonts w:hint="eastAsia" w:ascii="宋体" w:hAnsi="宋体"/>
          <w:color w:val="FF0000"/>
          <w:sz w:val="20"/>
          <w:szCs w:val="20"/>
        </w:rPr>
        <w:t>五、</w:t>
      </w:r>
      <w:r>
        <w:rPr>
          <w:rFonts w:ascii="宋体" w:hAnsi="宋体"/>
          <w:color w:val="FF0000"/>
          <w:sz w:val="20"/>
          <w:szCs w:val="20"/>
        </w:rPr>
        <w:t>供应商在使用深圳政府采购智慧平台的投标文件制作工具创建投标文件时，该工具将自动在投标文件中记录文件创建标识码，同时提取投标文件制作电脑的网卡MAC地址、硬盘序列号、CPU 序列号、主板序列号和工具标识号，经加密生成文件制作机器码并在投标文件中记录。文件制作机器码一致表明不同供应商使用了同一设备编制投标文件，文件创建标识码一致表明不同供应商的投标文件为同一份文件，IP 地址一致表明上传投标文件时使用了相同的网络。</w:t>
      </w:r>
      <w:r>
        <w:rPr>
          <w:rFonts w:ascii="宋体" w:hAnsi="宋体"/>
          <w:color w:val="FF0000"/>
          <w:sz w:val="20"/>
          <w:szCs w:val="20"/>
        </w:rPr>
        <w:br w:type="textWrapping"/>
      </w:r>
      <w:r>
        <w:rPr>
          <w:rFonts w:hint="eastAsia" w:ascii="宋体" w:hAnsi="宋体"/>
          <w:color w:val="FF0000"/>
          <w:sz w:val="20"/>
          <w:szCs w:val="20"/>
        </w:rPr>
        <w:t xml:space="preserve"> </w:t>
      </w:r>
      <w:r>
        <w:rPr>
          <w:rFonts w:ascii="宋体" w:hAnsi="宋体"/>
          <w:color w:val="FF0000"/>
          <w:sz w:val="20"/>
          <w:szCs w:val="20"/>
        </w:rPr>
        <w:t xml:space="preserve">   </w:t>
      </w:r>
      <w:r>
        <w:rPr>
          <w:rFonts w:hint="eastAsia" w:ascii="宋体" w:hAnsi="宋体"/>
          <w:color w:val="FF0000"/>
          <w:sz w:val="20"/>
          <w:szCs w:val="20"/>
        </w:rPr>
        <w:t>六、</w:t>
      </w:r>
      <w:r>
        <w:rPr>
          <w:rFonts w:ascii="宋体" w:hAnsi="宋体"/>
          <w:color w:val="FF0000"/>
          <w:sz w:val="20"/>
          <w:szCs w:val="20"/>
        </w:rPr>
        <w:t>为避免出现不同供应商投标文件的文件制作机器码、文件创建标识码、IP 地址一致的异常情况，建议各供应商编制、上传投标文件时不要使用公共电脑设备或公共网络。</w:t>
      </w:r>
      <w:r>
        <w:rPr>
          <w:rFonts w:ascii="宋体" w:hAnsi="宋体"/>
          <w:color w:val="FF0000"/>
          <w:sz w:val="20"/>
          <w:szCs w:val="20"/>
        </w:rPr>
        <w:br w:type="textWrapping"/>
      </w:r>
      <w:r>
        <w:rPr>
          <w:rFonts w:hint="eastAsia" w:ascii="宋体" w:hAnsi="宋体"/>
          <w:color w:val="FF0000"/>
          <w:sz w:val="20"/>
          <w:szCs w:val="20"/>
        </w:rPr>
        <w:t xml:space="preserve"> </w:t>
      </w:r>
      <w:r>
        <w:rPr>
          <w:rFonts w:ascii="宋体" w:hAnsi="宋体"/>
          <w:color w:val="FF0000"/>
          <w:sz w:val="20"/>
          <w:szCs w:val="20"/>
        </w:rPr>
        <w:t xml:space="preserve">   </w:t>
      </w:r>
      <w:r>
        <w:rPr>
          <w:rFonts w:hint="eastAsia" w:ascii="宋体" w:hAnsi="宋体"/>
          <w:color w:val="FF0000"/>
          <w:sz w:val="20"/>
          <w:szCs w:val="20"/>
        </w:rPr>
        <w:t>七、</w:t>
      </w:r>
      <w:r>
        <w:rPr>
          <w:rFonts w:ascii="宋体" w:hAnsi="宋体"/>
          <w:color w:val="FF0000"/>
          <w:sz w:val="20"/>
          <w:szCs w:val="20"/>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的行政处罚，请各供应商独立编制、上传投标文件，妥善保管和使用电子秘钥。</w:t>
      </w:r>
      <w:r>
        <w:br w:type="textWrapping"/>
      </w:r>
    </w:p>
    <w:p>
      <w:pPr>
        <w:widowControl/>
        <w:jc w:val="left"/>
        <w:rPr>
          <w:rFonts w:ascii="宋体" w:hAnsi="宋体" w:eastAsia="黑体"/>
          <w:b/>
          <w:bCs/>
          <w:kern w:val="44"/>
          <w:sz w:val="28"/>
          <w:szCs w:val="44"/>
        </w:rPr>
      </w:pPr>
      <w:r>
        <w:br w:type="page"/>
      </w:r>
    </w:p>
    <w:p>
      <w:pPr>
        <w:pStyle w:val="2"/>
      </w:pPr>
      <w:r>
        <w:rPr>
          <w:rFonts w:hint="eastAsia"/>
        </w:rPr>
        <w:t>目   录</w:t>
      </w:r>
    </w:p>
    <w:p>
      <w:pPr>
        <w:outlineLvl w:val="0"/>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outlineLvl w:val="0"/>
        <w:rPr>
          <w:rFonts w:ascii="宋体" w:hAnsi="宋体"/>
          <w:szCs w:val="21"/>
        </w:rPr>
      </w:pPr>
      <w:r>
        <w:rPr>
          <w:rFonts w:hint="eastAsia" w:ascii="宋体" w:hAnsi="宋体"/>
          <w:szCs w:val="21"/>
        </w:rPr>
        <w:t>第一章  招标公告</w:t>
      </w:r>
    </w:p>
    <w:p>
      <w:pPr>
        <w:ind w:left="630" w:leftChars="300" w:firstLine="630" w:firstLineChars="300"/>
        <w:outlineLvl w:val="0"/>
        <w:rPr>
          <w:rFonts w:ascii="宋体" w:hAnsi="宋体"/>
          <w:szCs w:val="21"/>
        </w:rPr>
      </w:pPr>
      <w:r>
        <w:rPr>
          <w:rFonts w:hint="eastAsia" w:ascii="宋体" w:hAnsi="宋体"/>
          <w:szCs w:val="21"/>
        </w:rPr>
        <w:t xml:space="preserve">第二章  </w:t>
      </w:r>
      <w:bookmarkStart w:id="4" w:name="_Hlk71994379"/>
      <w:r>
        <w:rPr>
          <w:rFonts w:hint="eastAsia" w:ascii="宋体" w:hAnsi="宋体"/>
          <w:szCs w:val="21"/>
        </w:rPr>
        <w:t>对通用条款的补充内容及其他关键信息</w:t>
      </w:r>
      <w:bookmarkEnd w:id="4"/>
    </w:p>
    <w:p>
      <w:pPr>
        <w:ind w:left="630" w:leftChars="300" w:firstLine="630" w:firstLineChars="300"/>
        <w:outlineLvl w:val="0"/>
        <w:rPr>
          <w:rFonts w:ascii="宋体" w:hAnsi="宋体"/>
          <w:szCs w:val="21"/>
        </w:rPr>
      </w:pPr>
      <w:r>
        <w:rPr>
          <w:rFonts w:hint="eastAsia" w:ascii="宋体" w:hAnsi="宋体"/>
          <w:szCs w:val="21"/>
        </w:rPr>
        <w:t>第三章 用户需求书</w:t>
      </w:r>
    </w:p>
    <w:p>
      <w:pPr>
        <w:ind w:left="630" w:leftChars="300" w:firstLine="630" w:firstLineChars="300"/>
        <w:outlineLvl w:val="0"/>
        <w:rPr>
          <w:rFonts w:ascii="宋体" w:hAnsi="宋体"/>
          <w:szCs w:val="21"/>
        </w:rPr>
      </w:pPr>
      <w:r>
        <w:rPr>
          <w:rFonts w:hint="eastAsia" w:ascii="宋体" w:hAnsi="宋体"/>
          <w:szCs w:val="21"/>
        </w:rPr>
        <w:t>第四章 投标文件组成要求及格式</w:t>
      </w:r>
    </w:p>
    <w:p>
      <w:pPr>
        <w:ind w:left="630" w:leftChars="300" w:firstLine="630" w:firstLineChars="300"/>
        <w:outlineLvl w:val="0"/>
        <w:rPr>
          <w:rFonts w:ascii="宋体" w:hAnsi="宋体"/>
          <w:szCs w:val="21"/>
        </w:rPr>
      </w:pPr>
      <w:r>
        <w:rPr>
          <w:rFonts w:hint="eastAsia" w:ascii="宋体" w:hAnsi="宋体"/>
          <w:szCs w:val="21"/>
        </w:rPr>
        <w:t>第五章  合同条款及格式</w:t>
      </w:r>
    </w:p>
    <w:p>
      <w:pPr>
        <w:rPr>
          <w:b/>
          <w:sz w:val="24"/>
        </w:rPr>
      </w:pPr>
    </w:p>
    <w:p>
      <w:pPr>
        <w:outlineLvl w:val="0"/>
        <w:rPr>
          <w:b/>
          <w:sz w:val="24"/>
        </w:rPr>
      </w:pPr>
      <w:r>
        <w:rPr>
          <w:rFonts w:hint="eastAsia"/>
          <w:b/>
          <w:sz w:val="24"/>
        </w:rPr>
        <w:t>第二册  通用条款</w:t>
      </w:r>
    </w:p>
    <w:p>
      <w:pPr>
        <w:ind w:left="630" w:leftChars="300" w:firstLine="411" w:firstLineChars="196"/>
        <w:outlineLvl w:val="0"/>
        <w:rPr>
          <w:rFonts w:ascii="宋体" w:hAnsi="宋体"/>
          <w:szCs w:val="21"/>
        </w:rPr>
      </w:pPr>
      <w:r>
        <w:rPr>
          <w:rFonts w:hint="eastAsia" w:ascii="宋体" w:hAnsi="宋体"/>
          <w:szCs w:val="21"/>
        </w:rPr>
        <w:t>第一章  总则</w:t>
      </w:r>
    </w:p>
    <w:p>
      <w:pPr>
        <w:ind w:left="630" w:leftChars="300" w:firstLine="411" w:firstLineChars="196"/>
        <w:outlineLvl w:val="0"/>
        <w:rPr>
          <w:rFonts w:ascii="宋体" w:hAnsi="宋体"/>
          <w:szCs w:val="21"/>
        </w:rPr>
      </w:pPr>
      <w:r>
        <w:rPr>
          <w:rFonts w:hint="eastAsia" w:ascii="宋体" w:hAnsi="宋体"/>
          <w:szCs w:val="21"/>
        </w:rPr>
        <w:t>第二章  招标文件</w:t>
      </w:r>
    </w:p>
    <w:p>
      <w:pPr>
        <w:ind w:left="630" w:leftChars="300" w:firstLine="411" w:firstLineChars="196"/>
        <w:outlineLvl w:val="0"/>
        <w:rPr>
          <w:rFonts w:ascii="宋体" w:hAnsi="宋体"/>
          <w:szCs w:val="21"/>
        </w:rPr>
      </w:pPr>
      <w:r>
        <w:rPr>
          <w:rFonts w:hint="eastAsia" w:ascii="宋体" w:hAnsi="宋体"/>
          <w:szCs w:val="21"/>
        </w:rPr>
        <w:t>第三章  投标文件的编制</w:t>
      </w:r>
    </w:p>
    <w:p>
      <w:pPr>
        <w:ind w:left="630" w:leftChars="300" w:firstLine="411" w:firstLineChars="196"/>
        <w:outlineLvl w:val="0"/>
        <w:rPr>
          <w:rFonts w:ascii="宋体" w:hAnsi="宋体"/>
          <w:szCs w:val="21"/>
        </w:rPr>
      </w:pPr>
      <w:r>
        <w:rPr>
          <w:rFonts w:hint="eastAsia" w:ascii="宋体" w:hAnsi="宋体"/>
          <w:szCs w:val="21"/>
        </w:rPr>
        <w:t>第四章  投标文件的递交</w:t>
      </w:r>
    </w:p>
    <w:p>
      <w:pPr>
        <w:ind w:left="630" w:leftChars="300" w:firstLine="411" w:firstLineChars="196"/>
        <w:outlineLvl w:val="0"/>
        <w:rPr>
          <w:rFonts w:ascii="宋体" w:hAnsi="宋体"/>
          <w:szCs w:val="21"/>
        </w:rPr>
      </w:pPr>
      <w:r>
        <w:rPr>
          <w:rFonts w:hint="eastAsia" w:ascii="宋体" w:hAnsi="宋体"/>
          <w:szCs w:val="21"/>
        </w:rPr>
        <w:t>第五章  开标</w:t>
      </w:r>
    </w:p>
    <w:p>
      <w:pPr>
        <w:ind w:left="630" w:leftChars="300" w:firstLine="411" w:firstLineChars="196"/>
        <w:outlineLvl w:val="0"/>
        <w:rPr>
          <w:rFonts w:ascii="宋体" w:hAnsi="宋体"/>
          <w:szCs w:val="21"/>
        </w:rPr>
      </w:pPr>
      <w:r>
        <w:rPr>
          <w:rFonts w:hint="eastAsia" w:ascii="宋体" w:hAnsi="宋体"/>
          <w:szCs w:val="21"/>
        </w:rPr>
        <w:t>第六章  评审要求</w:t>
      </w:r>
    </w:p>
    <w:p>
      <w:pPr>
        <w:ind w:left="630" w:leftChars="300" w:firstLine="411" w:firstLineChars="196"/>
        <w:outlineLvl w:val="0"/>
        <w:rPr>
          <w:rFonts w:ascii="宋体" w:hAnsi="宋体"/>
          <w:szCs w:val="21"/>
        </w:rPr>
      </w:pPr>
      <w:r>
        <w:rPr>
          <w:rFonts w:hint="eastAsia" w:ascii="宋体" w:hAnsi="宋体"/>
          <w:szCs w:val="21"/>
        </w:rPr>
        <w:t>第七章  评审程序及评审方法</w:t>
      </w:r>
    </w:p>
    <w:p>
      <w:pPr>
        <w:ind w:left="630" w:leftChars="300" w:firstLine="411" w:firstLineChars="196"/>
        <w:outlineLvl w:val="0"/>
        <w:rPr>
          <w:rFonts w:ascii="宋体" w:hAnsi="宋体"/>
          <w:szCs w:val="21"/>
        </w:rPr>
      </w:pPr>
      <w:r>
        <w:rPr>
          <w:rFonts w:hint="eastAsia" w:ascii="宋体" w:hAnsi="宋体"/>
          <w:szCs w:val="21"/>
        </w:rPr>
        <w:t>第八章  定标及公示</w:t>
      </w:r>
    </w:p>
    <w:p>
      <w:pPr>
        <w:ind w:left="630" w:leftChars="300" w:firstLine="411" w:firstLineChars="196"/>
        <w:outlineLvl w:val="0"/>
        <w:rPr>
          <w:rFonts w:ascii="宋体" w:hAnsi="宋体"/>
          <w:szCs w:val="21"/>
        </w:rPr>
      </w:pPr>
      <w:r>
        <w:rPr>
          <w:rFonts w:hint="eastAsia" w:ascii="宋体" w:hAnsi="宋体"/>
          <w:szCs w:val="21"/>
        </w:rPr>
        <w:t>第九章  公开招标失败的后续处理</w:t>
      </w:r>
    </w:p>
    <w:p>
      <w:pPr>
        <w:ind w:left="630" w:leftChars="300" w:firstLine="411" w:firstLineChars="196"/>
        <w:outlineLvl w:val="0"/>
        <w:rPr>
          <w:rFonts w:ascii="宋体" w:hAnsi="宋体"/>
          <w:szCs w:val="21"/>
        </w:rPr>
      </w:pPr>
      <w:r>
        <w:rPr>
          <w:rFonts w:hint="eastAsia" w:ascii="宋体" w:hAnsi="宋体"/>
          <w:szCs w:val="21"/>
        </w:rPr>
        <w:t>第十章  合同的授予与备案</w:t>
      </w:r>
    </w:p>
    <w:p>
      <w:pPr>
        <w:ind w:left="630" w:leftChars="300" w:firstLine="411" w:firstLineChars="196"/>
        <w:outlineLvl w:val="0"/>
        <w:rPr>
          <w:rFonts w:ascii="宋体" w:hAnsi="宋体"/>
          <w:szCs w:val="21"/>
        </w:rPr>
      </w:pPr>
      <w:r>
        <w:rPr>
          <w:rFonts w:hint="eastAsia" w:ascii="宋体" w:hAnsi="宋体"/>
          <w:szCs w:val="21"/>
        </w:rPr>
        <w:t>第十一章  质疑处理</w:t>
      </w:r>
    </w:p>
    <w:bookmarkEnd w:id="3"/>
    <w:p>
      <w:pPr>
        <w:widowControl/>
        <w:jc w:val="left"/>
        <w:rPr>
          <w:rFonts w:ascii="宋体" w:hAnsi="宋体" w:eastAsia="黑体"/>
          <w:b/>
          <w:bCs/>
          <w:kern w:val="44"/>
          <w:sz w:val="28"/>
          <w:szCs w:val="44"/>
        </w:rPr>
      </w:pPr>
      <w:bookmarkStart w:id="5" w:name="bt开标一览表"/>
      <w:bookmarkEnd w:id="5"/>
      <w:bookmarkStart w:id="6" w:name="bt投标文件签署授权委托书"/>
      <w:bookmarkEnd w:id="6"/>
      <w:bookmarkStart w:id="7" w:name="合同格式"/>
      <w:bookmarkEnd w:id="7"/>
      <w:bookmarkStart w:id="8" w:name="bt合同格式"/>
      <w:bookmarkEnd w:id="8"/>
      <w:bookmarkStart w:id="9" w:name="bt其他资料由投标人自定"/>
      <w:bookmarkEnd w:id="9"/>
      <w:bookmarkStart w:id="10" w:name="bt投标人情况介绍"/>
      <w:bookmarkEnd w:id="10"/>
      <w:bookmarkStart w:id="11" w:name="bt合同条款及格式"/>
      <w:bookmarkEnd w:id="11"/>
      <w:bookmarkStart w:id="12" w:name="bt本工程承诺书"/>
      <w:bookmarkEnd w:id="12"/>
      <w:bookmarkStart w:id="13" w:name="bt投标人须知"/>
      <w:bookmarkEnd w:id="13"/>
      <w:bookmarkStart w:id="14" w:name="bt技术标投标文件格式"/>
      <w:bookmarkEnd w:id="14"/>
      <w:bookmarkStart w:id="15" w:name="bt项目管理班子配备情况"/>
      <w:bookmarkEnd w:id="15"/>
      <w:bookmarkStart w:id="16" w:name="bt合同条款"/>
      <w:bookmarkEnd w:id="16"/>
      <w:bookmarkStart w:id="17" w:name="bt其他资料2"/>
      <w:bookmarkEnd w:id="17"/>
      <w:bookmarkStart w:id="18" w:name="bt商务标投标文件格式"/>
      <w:bookmarkEnd w:id="18"/>
      <w:bookmarkStart w:id="19" w:name="bt说明"/>
      <w:bookmarkEnd w:id="19"/>
      <w:bookmarkStart w:id="20" w:name="bt投标函"/>
      <w:bookmarkEnd w:id="20"/>
      <w:bookmarkStart w:id="21" w:name="bt投标报价汇总表"/>
      <w:bookmarkEnd w:id="21"/>
      <w:r>
        <w:br w:type="page"/>
      </w:r>
    </w:p>
    <w:p>
      <w:pPr>
        <w:pStyle w:val="2"/>
        <w:rPr>
          <w:color w:val="FF0000"/>
          <w:sz w:val="24"/>
        </w:rPr>
      </w:pPr>
      <w:r>
        <w:rPr>
          <w:rFonts w:hint="eastAsia"/>
        </w:rPr>
        <w:t>第一册  专用条款</w:t>
      </w:r>
    </w:p>
    <w:p>
      <w:pPr>
        <w:pStyle w:val="5"/>
        <w:rPr>
          <w:sz w:val="28"/>
          <w:szCs w:val="28"/>
        </w:rPr>
      </w:pPr>
      <w:r>
        <w:rPr>
          <w:rFonts w:hint="eastAsia"/>
          <w:sz w:val="28"/>
          <w:szCs w:val="28"/>
        </w:rPr>
        <w:t>第一章  招标公告</w:t>
      </w:r>
    </w:p>
    <w:p>
      <w:pPr>
        <w:spacing w:line="360" w:lineRule="auto"/>
        <w:rPr>
          <w:rFonts w:ascii="宋体" w:hAnsi="宋体" w:cs="宋体"/>
          <w:kern w:val="0"/>
          <w:sz w:val="18"/>
          <w:szCs w:val="18"/>
        </w:rPr>
      </w:pPr>
      <w:r>
        <w:rPr>
          <w:rFonts w:hint="eastAsia" w:ascii="宋体" w:hAnsi="宋体" w:cs="宋体"/>
          <w:b/>
          <w:bCs/>
          <w:kern w:val="0"/>
          <w:szCs w:val="21"/>
        </w:rPr>
        <w:t>申请人的资格要求</w:t>
      </w:r>
    </w:p>
    <w:p>
      <w:pPr>
        <w:ind w:firstLine="630" w:firstLineChars="300"/>
      </w:pPr>
      <w:r>
        <w:rPr>
          <w:rFonts w:hint="eastAsia"/>
        </w:rPr>
        <w:t>1</w:t>
      </w:r>
      <w:r>
        <w:t>.</w:t>
      </w:r>
      <w:bookmarkStart w:id="22" w:name="_Hlk72162904"/>
      <w:r>
        <w:rPr>
          <w:rFonts w:hint="eastAsia"/>
        </w:rPr>
        <w:t>具有独立法人资格或是具有独立承担民事责任能力的其它组织（提供营业执照或事业单位法人证书等证明资料扫描件，原件备查；如果参与投标的供应商为分公司则须提供分公司营业执照、其所属集团（或总公司）等具有独立法人资格的组织出具的授权函或承诺书，但只接受直接授权，不接受逐级授权，并同时提供总公司营业执照。不接受同一集团（或总公司）授权两家或以上分公司同时参与本项目投标，也不接受集团（或总公司）与分公司同时参与本项目投标，如出现上述情形，该两家或以上供应商的投标文件均按无效投标处理）；</w:t>
      </w:r>
      <w:bookmarkEnd w:id="22"/>
    </w:p>
    <w:p>
      <w:pPr>
        <w:ind w:firstLine="630" w:firstLineChars="300"/>
        <w:rPr>
          <w:color w:val="FF0000"/>
        </w:rPr>
      </w:pPr>
      <w:r>
        <w:rPr>
          <w:rFonts w:hint="eastAsia"/>
          <w:color w:val="FF0000"/>
        </w:rPr>
        <w:t>2</w:t>
      </w:r>
      <w:r>
        <w:rPr>
          <w:color w:val="FF0000"/>
        </w:rPr>
        <w:t>.</w:t>
      </w:r>
      <w:r>
        <w:rPr>
          <w:rFonts w:hint="eastAsia"/>
          <w:color w:val="FF0000"/>
        </w:rPr>
        <w:t>本项目不接受联合体投标（由供应商在《政府采购投标及履约承诺函》中作出声明），是否接受投标人选用进口产品参与投标详见招标文件“货物需求明细”表；</w:t>
      </w:r>
    </w:p>
    <w:p>
      <w:pPr>
        <w:ind w:firstLine="630" w:firstLineChars="300"/>
      </w:pPr>
      <w:r>
        <w:rPr>
          <w:rFonts w:hint="eastAsia"/>
        </w:rPr>
        <w:t>3</w:t>
      </w:r>
      <w:r>
        <w:t>.</w:t>
      </w:r>
      <w:r>
        <w:rPr>
          <w:rFonts w:hint="eastAsia"/>
        </w:rPr>
        <w:t>参与本项目政府采购活动时不存在被有关部门禁止参与政府采购活动且在有效期内的情况（由供应商在《政府采购投标及履约承诺函》中作出声明）；</w:t>
      </w:r>
    </w:p>
    <w:p>
      <w:pPr>
        <w:ind w:firstLine="630" w:firstLineChars="300"/>
      </w:pPr>
      <w:r>
        <w:rPr>
          <w:rFonts w:hint="eastAsia"/>
        </w:rPr>
        <w:t>4</w:t>
      </w:r>
      <w:r>
        <w:t>.</w:t>
      </w:r>
      <w:r>
        <w:rPr>
          <w:rFonts w:hint="eastAsia"/>
        </w:rPr>
        <w:t>具备《中华人民共和国政府采购法》第二十二条的条件（由供应商在《政府采购投标及履约承诺函》中作出声明）；</w:t>
      </w:r>
    </w:p>
    <w:p>
      <w:pPr>
        <w:ind w:firstLine="630" w:firstLineChars="300"/>
      </w:pPr>
      <w:r>
        <w:rPr>
          <w:rFonts w:hint="eastAsia"/>
        </w:rPr>
        <w:t>5</w:t>
      </w:r>
      <w:r>
        <w:t>.</w:t>
      </w:r>
      <w:r>
        <w:rPr>
          <w:rFonts w:hint="eastAsia"/>
        </w:rPr>
        <w:t>未被列入失信被执行人、重大税收违法案件当事人名单、政府采购严重违法失信行为记录名单（由供应商在《政府采购投标及履约承诺函》中作出声明）。</w:t>
      </w:r>
    </w:p>
    <w:p>
      <w:pPr>
        <w:ind w:firstLine="630" w:firstLineChars="300"/>
      </w:pPr>
      <w:r>
        <w:rPr>
          <w:rFonts w:hint="eastAsia"/>
        </w:rPr>
        <w:t>6.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注：（1）“信用中国”、“中国政府采购网”、“深圳信用网”以及“深圳市政府采购监管网”为供应商信用信息的查询渠道，相关信息以开标当日的查询结果为准；</w:t>
      </w:r>
    </w:p>
    <w:p>
      <w:pPr>
        <w:ind w:firstLine="420" w:firstLineChars="200"/>
        <w:rPr>
          <w:rFonts w:ascii="宋体" w:hAnsi="宋体" w:cs="宋体"/>
          <w:kern w:val="0"/>
          <w:szCs w:val="21"/>
        </w:rPr>
      </w:pPr>
      <w:r>
        <w:rPr>
          <w:rFonts w:hint="eastAsia" w:ascii="宋体" w:hAnsi="宋体"/>
        </w:rPr>
        <w:t>（2）供应商投标（上传投标文件）必须先行办理注册手续，具体请按照本公告“六、其他补充事宜</w:t>
      </w:r>
      <w:r>
        <w:rPr>
          <w:rFonts w:ascii="宋体" w:hAnsi="宋体"/>
        </w:rPr>
        <w:t>”</w:t>
      </w:r>
      <w:r>
        <w:rPr>
          <w:rFonts w:hint="eastAsia" w:ascii="宋体" w:hAnsi="宋体"/>
        </w:rPr>
        <w:t>相关内容指引办理。</w:t>
      </w:r>
    </w:p>
    <w:p>
      <w:pPr>
        <w:pStyle w:val="5"/>
        <w:jc w:val="left"/>
        <w:rPr>
          <w:sz w:val="22"/>
          <w:szCs w:val="18"/>
        </w:rPr>
      </w:pPr>
      <w:r>
        <w:rPr>
          <w:rFonts w:hint="eastAsia"/>
          <w:sz w:val="22"/>
          <w:szCs w:val="18"/>
        </w:rPr>
        <w:t>完整公告内容详见：深圳市政府采购监管网（中国政府采购网深圳分网）（http://zfcg.sz.gov.cn/）、</w:t>
      </w:r>
      <w:r>
        <w:rPr>
          <w:rFonts w:hint="eastAsia"/>
          <w:szCs w:val="24"/>
        </w:rPr>
        <w:t>深圳政府采购智慧平台（http://zfcg.szggzy.com:8081）</w:t>
      </w:r>
    </w:p>
    <w:p>
      <w:pPr>
        <w:widowControl/>
        <w:jc w:val="left"/>
        <w:rPr>
          <w:rFonts w:ascii="宋体" w:hAnsi="宋体"/>
          <w:b/>
          <w:bCs/>
          <w:kern w:val="0"/>
          <w:sz w:val="28"/>
          <w:szCs w:val="28"/>
        </w:rPr>
      </w:pPr>
      <w:r>
        <w:rPr>
          <w:sz w:val="28"/>
          <w:szCs w:val="28"/>
        </w:rPr>
        <w:br w:type="page"/>
      </w:r>
    </w:p>
    <w:p>
      <w:pPr>
        <w:pStyle w:val="5"/>
        <w:rPr>
          <w:sz w:val="28"/>
          <w:szCs w:val="28"/>
        </w:rPr>
      </w:pPr>
      <w:r>
        <w:rPr>
          <w:rFonts w:hint="eastAsia"/>
          <w:sz w:val="28"/>
          <w:szCs w:val="28"/>
        </w:rPr>
        <w:t xml:space="preserve">第二章 </w:t>
      </w:r>
      <w:bookmarkStart w:id="23" w:name="_Hlk71926094"/>
      <w:r>
        <w:rPr>
          <w:rFonts w:hint="eastAsia"/>
          <w:sz w:val="28"/>
          <w:szCs w:val="28"/>
        </w:rPr>
        <w:t>对通用条款的补充内容及其他关键信息</w:t>
      </w:r>
      <w:bookmarkEnd w:id="23"/>
    </w:p>
    <w:p>
      <w:pPr>
        <w:pStyle w:val="5"/>
        <w:spacing w:before="120" w:beforeLines="50" w:after="120" w:afterLines="50"/>
        <w:rPr>
          <w:szCs w:val="24"/>
        </w:rPr>
      </w:pPr>
      <w:bookmarkStart w:id="24" w:name="_Toc73517639"/>
      <w:bookmarkStart w:id="25" w:name="_Toc101074876"/>
      <w:bookmarkStart w:id="26" w:name="_Toc60631620"/>
      <w:bookmarkStart w:id="27" w:name="_Toc60560625"/>
      <w:bookmarkStart w:id="28" w:name="_Toc73521635"/>
      <w:bookmarkStart w:id="29" w:name="_Toc73518117"/>
      <w:bookmarkStart w:id="30" w:name="_Toc100052364"/>
      <w:bookmarkStart w:id="31" w:name="_Toc73521547"/>
      <w:r>
        <w:rPr>
          <w:rFonts w:hint="eastAsia"/>
          <w:szCs w:val="24"/>
        </w:rPr>
        <w:t>一、对通用条款的补充内容</w:t>
      </w:r>
    </w:p>
    <w:bookmarkEnd w:id="24"/>
    <w:bookmarkEnd w:id="25"/>
    <w:bookmarkEnd w:id="26"/>
    <w:bookmarkEnd w:id="27"/>
    <w:bookmarkEnd w:id="28"/>
    <w:bookmarkEnd w:id="29"/>
    <w:bookmarkEnd w:id="30"/>
    <w:bookmarkEnd w:id="31"/>
    <w:tbl>
      <w:tblPr>
        <w:tblStyle w:val="43"/>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2409"/>
        <w:gridCol w:w="4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bookmarkStart w:id="32" w:name="_Hlk72218097"/>
            <w:r>
              <w:rPr>
                <w:rFonts w:hint="eastAsia" w:ascii="宋体" w:hAnsi="宋体"/>
                <w:b/>
                <w:bCs/>
              </w:rPr>
              <w:t>通用条款序号</w:t>
            </w:r>
          </w:p>
        </w:tc>
        <w:tc>
          <w:tcPr>
            <w:tcW w:w="2409" w:type="dxa"/>
            <w:vAlign w:val="center"/>
          </w:tcPr>
          <w:p>
            <w:pPr>
              <w:jc w:val="center"/>
              <w:rPr>
                <w:rFonts w:ascii="宋体" w:hAnsi="宋体"/>
                <w:b/>
                <w:bCs/>
              </w:rPr>
            </w:pPr>
            <w:r>
              <w:rPr>
                <w:rFonts w:hint="eastAsia" w:ascii="宋体" w:hAnsi="宋体"/>
                <w:b/>
                <w:bCs/>
              </w:rPr>
              <w:t>涉及事项</w:t>
            </w:r>
          </w:p>
        </w:tc>
        <w:tc>
          <w:tcPr>
            <w:tcW w:w="4980"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2409" w:type="dxa"/>
            <w:vAlign w:val="center"/>
          </w:tcPr>
          <w:p>
            <w:pPr>
              <w:jc w:val="center"/>
            </w:pPr>
            <w:r>
              <w:rPr>
                <w:rFonts w:hint="eastAsia"/>
              </w:rPr>
              <w:t>采购人</w:t>
            </w:r>
          </w:p>
        </w:tc>
        <w:tc>
          <w:tcPr>
            <w:tcW w:w="4980" w:type="dxa"/>
            <w:vAlign w:val="center"/>
          </w:tcPr>
          <w:p>
            <w:pPr>
              <w:jc w:val="center"/>
              <w:rPr>
                <w:rFonts w:ascii="宋体" w:hAnsi="宋体"/>
              </w:rPr>
            </w:pPr>
            <w:r>
              <w:rPr>
                <w:rFonts w:hint="eastAsia" w:ascii="宋体" w:hAnsi="宋体"/>
              </w:rPr>
              <w:t>深圳市人民政府口岸办公室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2409" w:type="dxa"/>
            <w:vAlign w:val="center"/>
          </w:tcPr>
          <w:p>
            <w:pPr>
              <w:jc w:val="center"/>
              <w:rPr>
                <w:rFonts w:ascii="宋体" w:hAnsi="宋体"/>
              </w:rPr>
            </w:pPr>
            <w:r>
              <w:rPr>
                <w:rFonts w:hint="eastAsia" w:ascii="宋体" w:hAnsi="宋体"/>
              </w:rPr>
              <w:t>政府集中采购机构</w:t>
            </w:r>
          </w:p>
        </w:tc>
        <w:tc>
          <w:tcPr>
            <w:tcW w:w="4980" w:type="dxa"/>
            <w:vAlign w:val="center"/>
          </w:tcPr>
          <w:p>
            <w:pPr>
              <w:jc w:val="center"/>
              <w:rPr>
                <w:rFonts w:ascii="宋体" w:hAnsi="宋体"/>
              </w:rPr>
            </w:pPr>
            <w:r>
              <w:rPr>
                <w:rFonts w:hint="eastAsia" w:ascii="宋体" w:hAnsi="宋体"/>
              </w:rPr>
              <w:t>深圳公共资源交易中心</w:t>
            </w:r>
          </w:p>
          <w:p>
            <w:pPr>
              <w:jc w:val="center"/>
              <w:rPr>
                <w:rFonts w:ascii="宋体" w:hAnsi="宋体"/>
              </w:rPr>
            </w:pPr>
            <w:r>
              <w:rPr>
                <w:rFonts w:hint="eastAsia" w:ascii="宋体" w:hAnsi="宋体"/>
              </w:rPr>
              <w:t>（深圳交易集团有限公司政府采购业务分公司）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2409" w:type="dxa"/>
            <w:vAlign w:val="center"/>
          </w:tcPr>
          <w:p>
            <w:pPr>
              <w:jc w:val="center"/>
              <w:rPr>
                <w:rFonts w:ascii="宋体" w:hAnsi="宋体"/>
              </w:rPr>
            </w:pPr>
            <w:r>
              <w:rPr>
                <w:rFonts w:hint="eastAsia" w:ascii="宋体" w:hAnsi="宋体"/>
              </w:rPr>
              <w:t>踏勘现场</w:t>
            </w:r>
          </w:p>
        </w:tc>
        <w:tc>
          <w:tcPr>
            <w:tcW w:w="4980" w:type="dxa"/>
            <w:vAlign w:val="center"/>
          </w:tcPr>
          <w:p>
            <w:pPr>
              <w:jc w:val="center"/>
              <w:rPr>
                <w:rFonts w:ascii="宋体" w:hAnsi="宋体"/>
              </w:rPr>
            </w:pPr>
            <w:r>
              <w:rPr>
                <w:rFonts w:hint="eastAsia" w:ascii="宋体" w:hAnsi="宋体"/>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2409" w:type="dxa"/>
            <w:vAlign w:val="center"/>
          </w:tcPr>
          <w:p>
            <w:pPr>
              <w:jc w:val="center"/>
              <w:rPr>
                <w:rFonts w:ascii="宋体" w:hAnsi="宋体"/>
              </w:rPr>
            </w:pPr>
            <w:r>
              <w:rPr>
                <w:rFonts w:hint="eastAsia" w:ascii="宋体" w:hAnsi="宋体"/>
              </w:rPr>
              <w:t>标前会议</w:t>
            </w:r>
          </w:p>
        </w:tc>
        <w:tc>
          <w:tcPr>
            <w:tcW w:w="4980" w:type="dxa"/>
            <w:vAlign w:val="center"/>
          </w:tcPr>
          <w:p>
            <w:pPr>
              <w:jc w:val="center"/>
              <w:rPr>
                <w:rFonts w:ascii="宋体" w:hAnsi="宋体"/>
              </w:rPr>
            </w:pPr>
            <w:r>
              <w:rPr>
                <w:rFonts w:hint="eastAsia" w:ascii="宋体" w:hAnsi="宋体"/>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2409" w:type="dxa"/>
            <w:vAlign w:val="center"/>
          </w:tcPr>
          <w:p>
            <w:pPr>
              <w:jc w:val="center"/>
              <w:rPr>
                <w:rFonts w:ascii="宋体" w:hAnsi="宋体"/>
              </w:rPr>
            </w:pPr>
            <w:r>
              <w:rPr>
                <w:rFonts w:hint="eastAsia" w:ascii="宋体" w:hAnsi="宋体"/>
              </w:rPr>
              <w:t>招标文件的澄清和修改</w:t>
            </w:r>
          </w:p>
        </w:tc>
        <w:tc>
          <w:tcPr>
            <w:tcW w:w="4980" w:type="dxa"/>
            <w:vAlign w:val="center"/>
          </w:tcPr>
          <w:p>
            <w:pPr>
              <w:jc w:val="left"/>
              <w:rPr>
                <w:rFonts w:ascii="宋体" w:hAnsi="宋体"/>
              </w:rPr>
            </w:pPr>
            <w:r>
              <w:rPr>
                <w:rFonts w:hint="eastAsia" w:ascii="宋体" w:hAnsi="宋体"/>
              </w:rPr>
              <w:t>不晚于投标截止日三日前（详见招标公告），投标人有义务在招标期间在政府集中采购机构网站浏览与本项目有关的澄清和修改信息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2409" w:type="dxa"/>
            <w:vAlign w:val="center"/>
          </w:tcPr>
          <w:p>
            <w:pPr>
              <w:jc w:val="center"/>
              <w:rPr>
                <w:rFonts w:ascii="宋体" w:hAnsi="宋体"/>
              </w:rPr>
            </w:pPr>
            <w:r>
              <w:rPr>
                <w:rFonts w:hint="eastAsia" w:ascii="宋体" w:hAnsi="宋体"/>
              </w:rPr>
              <w:t>投标有效期</w:t>
            </w:r>
          </w:p>
        </w:tc>
        <w:tc>
          <w:tcPr>
            <w:tcW w:w="4980" w:type="dxa"/>
            <w:vAlign w:val="center"/>
          </w:tcPr>
          <w:p>
            <w:pPr>
              <w:jc w:val="center"/>
              <w:rPr>
                <w:rFonts w:ascii="宋体" w:hAnsi="宋体"/>
              </w:rPr>
            </w:pPr>
            <w:r>
              <w:rPr>
                <w:rFonts w:hint="eastAsia" w:ascii="宋体" w:hAnsi="宋体"/>
              </w:rPr>
              <w:t>120个日历日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2409" w:type="dxa"/>
            <w:vAlign w:val="center"/>
          </w:tcPr>
          <w:p>
            <w:pPr>
              <w:jc w:val="center"/>
              <w:rPr>
                <w:rFonts w:ascii="宋体" w:hAnsi="宋体"/>
              </w:rPr>
            </w:pPr>
            <w:r>
              <w:rPr>
                <w:rFonts w:hint="eastAsia" w:ascii="宋体" w:hAnsi="宋体"/>
              </w:rPr>
              <w:t>投标人的替代方案</w:t>
            </w:r>
          </w:p>
        </w:tc>
        <w:tc>
          <w:tcPr>
            <w:tcW w:w="4980" w:type="dxa"/>
            <w:vAlign w:val="center"/>
          </w:tcPr>
          <w:p>
            <w:pPr>
              <w:jc w:val="center"/>
              <w:rPr>
                <w:rFonts w:ascii="宋体" w:hAnsi="宋体"/>
              </w:rPr>
            </w:pPr>
            <w:r>
              <w:rPr>
                <w:rFonts w:hint="eastAsia" w:ascii="宋体" w:hAnsi="宋体"/>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2409" w:type="dxa"/>
            <w:vAlign w:val="center"/>
          </w:tcPr>
          <w:p>
            <w:pPr>
              <w:jc w:val="center"/>
              <w:rPr>
                <w:rFonts w:ascii="宋体" w:hAnsi="宋体"/>
              </w:rPr>
            </w:pPr>
            <w:r>
              <w:rPr>
                <w:rFonts w:hint="eastAsia" w:ascii="宋体" w:hAnsi="宋体"/>
              </w:rPr>
              <w:t>投标文件的大小</w:t>
            </w:r>
          </w:p>
        </w:tc>
        <w:tc>
          <w:tcPr>
            <w:tcW w:w="4980" w:type="dxa"/>
            <w:vAlign w:val="center"/>
          </w:tcPr>
          <w:p>
            <w:pPr>
              <w:jc w:val="center"/>
              <w:rPr>
                <w:rFonts w:ascii="宋体" w:hAnsi="宋体"/>
              </w:rPr>
            </w:pPr>
            <w:r>
              <w:rPr>
                <w:rFonts w:hint="eastAsia" w:ascii="宋体" w:hAnsi="宋体"/>
              </w:rPr>
              <w:t>投标文件大小不得超过</w:t>
            </w:r>
            <w:r>
              <w:rPr>
                <w:rFonts w:ascii="宋体" w:hAnsi="宋体"/>
              </w:rPr>
              <w:t>1</w:t>
            </w:r>
            <w:r>
              <w:rPr>
                <w:rFonts w:hint="eastAsia" w:ascii="宋体" w:hAnsi="宋体"/>
              </w:rPr>
              <w:t>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2409" w:type="dxa"/>
            <w:vAlign w:val="center"/>
          </w:tcPr>
          <w:p>
            <w:pPr>
              <w:jc w:val="center"/>
              <w:rPr>
                <w:rFonts w:ascii="宋体" w:hAnsi="宋体"/>
              </w:rPr>
            </w:pPr>
            <w:bookmarkStart w:id="33" w:name="_Hlk71664860"/>
            <w:r>
              <w:rPr>
                <w:rFonts w:hint="eastAsia" w:ascii="宋体" w:hAnsi="宋体"/>
              </w:rPr>
              <w:t>样品、演示、方案讲解</w:t>
            </w:r>
            <w:bookmarkEnd w:id="33"/>
          </w:p>
        </w:tc>
        <w:tc>
          <w:tcPr>
            <w:tcW w:w="4980" w:type="dxa"/>
            <w:vAlign w:val="center"/>
          </w:tcPr>
          <w:p>
            <w:pPr>
              <w:rPr>
                <w:rFonts w:ascii="宋体" w:hAnsi="宋体"/>
              </w:rPr>
            </w:pPr>
            <w:r>
              <w:rPr>
                <w:rFonts w:hint="eastAsia" w:ascii="宋体" w:hAnsi="宋体"/>
              </w:rPr>
              <w:t>如有样品、演示、方案讲解，具体安排见第三章 用户需求书相关要求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2409" w:type="dxa"/>
            <w:vAlign w:val="center"/>
          </w:tcPr>
          <w:p>
            <w:pPr>
              <w:jc w:val="center"/>
              <w:rPr>
                <w:rFonts w:ascii="宋体" w:hAnsi="宋体"/>
              </w:rPr>
            </w:pPr>
            <w:r>
              <w:rPr>
                <w:rFonts w:hint="eastAsia" w:ascii="宋体" w:hAnsi="宋体"/>
              </w:rPr>
              <w:t>评审方法</w:t>
            </w:r>
          </w:p>
        </w:tc>
        <w:tc>
          <w:tcPr>
            <w:tcW w:w="4980" w:type="dxa"/>
            <w:vAlign w:val="center"/>
          </w:tcPr>
          <w:p>
            <w:pPr>
              <w:jc w:val="left"/>
              <w:rPr>
                <w:rFonts w:ascii="宋体" w:hAnsi="宋体"/>
              </w:rPr>
            </w:pPr>
            <w:r>
              <w:rPr>
                <w:rFonts w:hint="eastAsia" w:ascii="宋体" w:hAnsi="宋体"/>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3"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2409" w:type="dxa"/>
            <w:vAlign w:val="center"/>
          </w:tcPr>
          <w:p>
            <w:pPr>
              <w:jc w:val="center"/>
              <w:rPr>
                <w:rFonts w:ascii="宋体" w:hAnsi="宋体"/>
              </w:rPr>
            </w:pPr>
            <w:r>
              <w:rPr>
                <w:rFonts w:hint="eastAsia" w:ascii="宋体" w:hAnsi="宋体"/>
              </w:rPr>
              <w:t>定标方法</w:t>
            </w:r>
          </w:p>
        </w:tc>
        <w:tc>
          <w:tcPr>
            <w:tcW w:w="4980" w:type="dxa"/>
            <w:vAlign w:val="center"/>
          </w:tcPr>
          <w:p>
            <w:pPr>
              <w:jc w:val="left"/>
              <w:rPr>
                <w:rFonts w:ascii="宋体" w:hAnsi="宋体"/>
              </w:rPr>
            </w:pPr>
            <w:r>
              <w:rPr>
                <w:rFonts w:hint="eastAsia" w:ascii="宋体" w:hAnsi="宋体"/>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2409" w:type="dxa"/>
            <w:vAlign w:val="center"/>
          </w:tcPr>
          <w:p>
            <w:pPr>
              <w:jc w:val="center"/>
              <w:rPr>
                <w:rFonts w:ascii="宋体" w:hAnsi="宋体"/>
              </w:rPr>
            </w:pPr>
            <w:r>
              <w:rPr>
                <w:rFonts w:hint="eastAsia" w:ascii="宋体" w:hAnsi="宋体"/>
              </w:rPr>
              <w:t>履约担保</w:t>
            </w:r>
          </w:p>
        </w:tc>
        <w:tc>
          <w:tcPr>
            <w:tcW w:w="4980" w:type="dxa"/>
            <w:vAlign w:val="center"/>
          </w:tcPr>
          <w:p>
            <w:pPr>
              <w:jc w:val="left"/>
              <w:rPr>
                <w:rFonts w:ascii="宋体" w:hAnsi="宋体"/>
              </w:rPr>
            </w:pPr>
            <w:r>
              <w:rPr>
                <w:rFonts w:hint="eastAsia" w:ascii="宋体" w:hAnsi="宋体"/>
              </w:rPr>
              <w:t>不需要</w:t>
            </w:r>
          </w:p>
        </w:tc>
      </w:tr>
    </w:tbl>
    <w:p>
      <w:pPr>
        <w:rPr>
          <w:b/>
        </w:rPr>
      </w:pPr>
      <w:r>
        <w:rPr>
          <w:rFonts w:hint="eastAsia"/>
          <w:szCs w:val="21"/>
        </w:rPr>
        <w:t>备注：本表是通用条款相关条款的补充和明确，如与通用条款内容相冲突的，以本表为准。</w:t>
      </w:r>
    </w:p>
    <w:bookmarkEnd w:id="32"/>
    <w:p>
      <w:pPr>
        <w:pStyle w:val="5"/>
        <w:spacing w:before="120" w:beforeLines="50" w:after="120" w:afterLines="50"/>
        <w:rPr>
          <w:szCs w:val="24"/>
        </w:rPr>
      </w:pPr>
      <w:bookmarkStart w:id="34" w:name="_Hlk72218117"/>
      <w:r>
        <w:rPr>
          <w:rFonts w:hint="eastAsia"/>
          <w:szCs w:val="24"/>
        </w:rPr>
        <w:t>二、其他关键信息</w:t>
      </w:r>
    </w:p>
    <w:p>
      <w:pPr>
        <w:jc w:val="center"/>
        <w:rPr>
          <w:b/>
          <w:bCs/>
        </w:rPr>
      </w:pPr>
      <w:bookmarkStart w:id="35" w:name="_Hlk72579427"/>
      <w:r>
        <w:rPr>
          <w:rFonts w:hint="eastAsia"/>
          <w:b/>
          <w:bCs/>
        </w:rPr>
        <w:t>（一）评标定标信息</w:t>
      </w:r>
    </w:p>
    <w:p>
      <w:pPr>
        <w:jc w:val="center"/>
      </w:pPr>
      <w:r>
        <w:rPr>
          <w:rFonts w:hint="eastAsia"/>
          <w:b/>
        </w:rPr>
        <w:t>非评定分离项目</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bookmarkStart w:id="36" w:name="_Hlk74239733"/>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候选中标供应商家数</w:t>
            </w:r>
          </w:p>
        </w:tc>
        <w:tc>
          <w:tcPr>
            <w:tcW w:w="4265" w:type="dxa"/>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bookmarkEnd w:id="36"/>
    </w:tbl>
    <w:p>
      <w:pPr>
        <w:jc w:val="center"/>
        <w:rPr>
          <w:b/>
        </w:rPr>
      </w:pPr>
      <w:r>
        <w:rPr>
          <w:rFonts w:hint="eastAsia"/>
          <w:b/>
        </w:rPr>
        <w:t>（二）其他事项</w:t>
      </w:r>
      <w:bookmarkEnd w:id="35"/>
    </w:p>
    <w:p>
      <w:pPr>
        <w:ind w:firstLine="422" w:firstLineChars="200"/>
        <w:rPr>
          <w:b/>
          <w:bCs/>
        </w:rPr>
      </w:pPr>
      <w:r>
        <w:rPr>
          <w:b/>
          <w:bCs/>
        </w:rPr>
        <w:t>1</w:t>
      </w:r>
      <w:r>
        <w:rPr>
          <w:rFonts w:hint="eastAsia"/>
          <w:b/>
          <w:bCs/>
        </w:rPr>
        <w:t>、关于享受优惠政策的主体及价格扣除比例</w:t>
      </w:r>
    </w:p>
    <w:p>
      <w:pPr>
        <w:ind w:firstLine="420" w:firstLineChars="200"/>
      </w:pPr>
      <w:r>
        <w:rPr>
          <w:rFonts w:hint="eastAsia"/>
        </w:rPr>
        <w:t>（1）投标人提供的服务</w:t>
      </w:r>
      <w:r>
        <w:rPr>
          <w:rFonts w:hint="eastAsia"/>
          <w:b/>
        </w:rPr>
        <w:t>全部</w:t>
      </w:r>
      <w:r>
        <w:rPr>
          <w:rFonts w:hint="eastAsia"/>
        </w:rPr>
        <w:t>均由优惠主体承接，则对其投标总价给予</w:t>
      </w:r>
      <w:r>
        <w:rPr>
          <w:color w:val="FF0000"/>
          <w:u w:val="single"/>
        </w:rPr>
        <w:t xml:space="preserve">  </w:t>
      </w:r>
      <w:r>
        <w:rPr>
          <w:rFonts w:hint="eastAsia"/>
          <w:color w:val="FF0000"/>
          <w:u w:val="single"/>
          <w:lang w:val="en-US" w:eastAsia="zh-CN"/>
        </w:rPr>
        <w:t>10</w:t>
      </w:r>
      <w:r>
        <w:rPr>
          <w:color w:val="FF0000"/>
          <w:u w:val="single"/>
        </w:rPr>
        <w:t xml:space="preserve">  %</w:t>
      </w:r>
      <w:r>
        <w:rPr>
          <w:rFonts w:hint="eastAsia"/>
        </w:rPr>
        <w:t>的扣除，用扣除后的价格参与评审。满足多项优惠政策的企业，不重复享受多项价格扣除政策。</w:t>
      </w:r>
    </w:p>
    <w:p>
      <w:pPr>
        <w:ind w:firstLine="420" w:firstLineChars="200"/>
      </w:pPr>
      <w:r>
        <w:rPr>
          <w:rFonts w:hint="eastAsia"/>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t>b)</w:t>
      </w:r>
      <w:r>
        <w:rPr>
          <w:rFonts w:hint="eastAsia"/>
        </w:rPr>
        <w:t>优惠主体承接是指提供服务的人员为中小企业依照《中华人民共和国劳动合同法》订立劳动合同的从业人员。</w:t>
      </w:r>
    </w:p>
    <w:p>
      <w:pPr>
        <w:ind w:firstLine="420" w:firstLineChars="200"/>
      </w:pPr>
      <w:r>
        <w:rPr>
          <w:rFonts w:hint="eastAsia"/>
        </w:rPr>
        <w:t>（2）根据</w:t>
      </w:r>
      <w:r>
        <w:rPr>
          <w:rFonts w:hint="eastAsia"/>
          <w:szCs w:val="22"/>
        </w:rPr>
        <w:t>《工业和信息化部、国家统计局、国家发展和改革委员会、财政部关于印发中小企业划型标准规定的通知》（工信部联企业〔2011〕300 号）</w:t>
      </w:r>
      <w:r>
        <w:rPr>
          <w:rFonts w:hint="eastAsia"/>
        </w:rPr>
        <w:t>，</w:t>
      </w:r>
      <w:bookmarkStart w:id="37" w:name="_Hlk71970739"/>
      <w:r>
        <w:rPr>
          <w:rFonts w:hint="eastAsia"/>
          <w:color w:val="FF0000"/>
        </w:rPr>
        <w:t>本项目</w:t>
      </w:r>
      <w:bookmarkStart w:id="38" w:name="_Hlk71924718"/>
      <w:r>
        <w:rPr>
          <w:rFonts w:hint="eastAsia"/>
          <w:color w:val="FF0000"/>
        </w:rPr>
        <w:t>采购标的（服务需求）对应的中小企业划分标准所属行业</w:t>
      </w:r>
      <w:bookmarkEnd w:id="38"/>
      <w:r>
        <w:rPr>
          <w:rFonts w:hint="eastAsia"/>
          <w:color w:val="FF0000"/>
        </w:rPr>
        <w:t>为</w:t>
      </w:r>
      <w:r>
        <w:rPr>
          <w:rFonts w:hint="eastAsia"/>
          <w:b/>
          <w:bCs/>
          <w:color w:val="FF0000"/>
          <w:sz w:val="28"/>
          <w:szCs w:val="36"/>
          <w:u w:val="single"/>
        </w:rPr>
        <w:t>工业</w:t>
      </w:r>
      <w:r>
        <w:rPr>
          <w:rFonts w:hint="eastAsia"/>
          <w:color w:val="FF0000"/>
        </w:rPr>
        <w:t>。</w:t>
      </w:r>
      <w:bookmarkEnd w:id="37"/>
    </w:p>
    <w:p>
      <w:pPr>
        <w:ind w:firstLine="420" w:firstLineChars="200"/>
      </w:pPr>
      <w:r>
        <w:rPr>
          <w:rFonts w:hint="eastAsia"/>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四章“</w:t>
      </w:r>
      <w:r>
        <w:rPr>
          <w:rFonts w:hint="eastAsia" w:ascii="宋体" w:hAnsi="宋体"/>
          <w:szCs w:val="21"/>
        </w:rPr>
        <w:t>投标文件组成要求及格式</w:t>
      </w:r>
      <w:r>
        <w:rPr>
          <w:rFonts w:hint="eastAsia"/>
        </w:rPr>
        <w:t>”中“三、投标人情况及资格证明文件”章节提供的格式）。</w:t>
      </w:r>
    </w:p>
    <w:p>
      <w:pPr>
        <w:rPr>
          <w:b/>
        </w:rPr>
      </w:pPr>
      <w:r>
        <w:rPr>
          <w:rFonts w:hint="eastAsia"/>
        </w:rPr>
        <w:t>（4）享受价格扣除获得政府采购合同的，小微企业不得将合同分包给大中型企业。</w:t>
      </w:r>
    </w:p>
    <w:p>
      <w:pPr>
        <w:ind w:firstLine="422" w:firstLineChars="200"/>
        <w:rPr>
          <w:b/>
          <w:bCs/>
        </w:rPr>
      </w:pPr>
      <w:r>
        <w:rPr>
          <w:b/>
          <w:bCs/>
        </w:rPr>
        <w:t>2、</w:t>
      </w:r>
      <w:r>
        <w:rPr>
          <w:rFonts w:hint="eastAsia"/>
          <w:b/>
          <w:bCs/>
        </w:rPr>
        <w:t>关于订单融资</w:t>
      </w:r>
    </w:p>
    <w:p>
      <w:pPr>
        <w:ind w:firstLine="420" w:firstLineChars="200"/>
      </w:pPr>
      <w:r>
        <w:rPr>
          <w:rFonts w:hint="eastAsia"/>
        </w:rPr>
        <w:t>关于政府采购订单融资政策：为进一步拓宽企业融资渠道，降低企业融资成本，我市推出政府采购订单融资服务，中标（成交）供应商可以凭借中标（成交）通知书或政府采购合同向金融机构提出融资申请。订单融资具体流程可登录</w:t>
      </w:r>
      <w:r>
        <w:rPr>
          <w:rFonts w:hint="eastAsia"/>
          <w:lang w:eastAsia="zh-CN"/>
        </w:rPr>
        <w:t>深圳要素交易金融服务平台(https://finance.szexgrp.com/gtm/web/guarantee/#/)</w:t>
      </w:r>
      <w:r>
        <w:rPr>
          <w:rFonts w:hint="eastAsia"/>
        </w:rPr>
        <w:t>，相关政策法规参阅深圳市政府采购监管网（http://zfcg.sz.gov.cn/）信息公开栏目。咨询电话：0755­88653386。</w:t>
      </w:r>
    </w:p>
    <w:p>
      <w:pPr>
        <w:pStyle w:val="18"/>
      </w:pPr>
    </w:p>
    <w:p>
      <w:pPr>
        <w:ind w:firstLine="422" w:firstLineChars="200"/>
        <w:jc w:val="left"/>
        <w:rPr>
          <w:rFonts w:ascii="宋体" w:hAnsi="宋体" w:cs="宋体"/>
          <w:b/>
          <w:color w:val="FF0000"/>
          <w:szCs w:val="21"/>
        </w:rPr>
      </w:pPr>
      <w:r>
        <w:rPr>
          <w:rFonts w:hint="eastAsia"/>
          <w:b/>
          <w:color w:val="FF0000"/>
        </w:rPr>
        <w:t>3、代理服务费</w:t>
      </w:r>
    </w:p>
    <w:p>
      <w:pPr>
        <w:spacing w:before="50" w:after="50"/>
        <w:ind w:firstLine="420" w:firstLineChars="200"/>
        <w:rPr>
          <w:rFonts w:ascii="宋体" w:hAnsi="宋体" w:cs="宋体"/>
          <w:color w:val="FF0000"/>
          <w:szCs w:val="21"/>
        </w:rPr>
      </w:pPr>
      <w:r>
        <w:rPr>
          <w:rFonts w:hint="eastAsia" w:ascii="宋体" w:hAnsi="宋体" w:cs="宋体"/>
          <w:color w:val="FF0000"/>
          <w:szCs w:val="21"/>
        </w:rPr>
        <w:t>（1）本项目向中标供应商收取代理服务费</w:t>
      </w:r>
    </w:p>
    <w:p>
      <w:pPr>
        <w:spacing w:before="50" w:after="50"/>
        <w:ind w:firstLine="420" w:firstLineChars="200"/>
        <w:rPr>
          <w:rFonts w:ascii="宋体" w:hAnsi="宋体" w:cs="宋体"/>
          <w:color w:val="FF0000"/>
          <w:szCs w:val="21"/>
        </w:rPr>
      </w:pPr>
      <w:r>
        <w:rPr>
          <w:rFonts w:hint="eastAsia" w:ascii="宋体" w:hAnsi="宋体" w:cs="宋体"/>
          <w:color w:val="FF0000"/>
          <w:szCs w:val="21"/>
        </w:rPr>
        <w:t>中标供应商在领取《中标通知书》之前须向深圳交易集团有限公司交纳代理服务费。若因中标供应商交纳代理服务费所产生的时间影响到合同签订的，由中标供应商自行承担责任。代理服务费标准参照《关于印发深圳交易集团有限公司（深圳公共资源交易中心）业务收费标准的通知》（深交易〔2023〕69号）收取。本项目类别为</w:t>
      </w:r>
      <w:r>
        <w:rPr>
          <w:rFonts w:hint="eastAsia" w:ascii="宋体" w:hAnsi="宋体" w:cs="宋体"/>
          <w:b/>
          <w:bCs/>
          <w:color w:val="FF0000"/>
          <w:szCs w:val="21"/>
        </w:rPr>
        <w:t xml:space="preserve"> 货物招标</w:t>
      </w:r>
      <w:r>
        <w:rPr>
          <w:rFonts w:hint="eastAsia" w:ascii="宋体" w:hAnsi="宋体" w:cs="宋体"/>
          <w:color w:val="FF0000"/>
          <w:szCs w:val="21"/>
        </w:rPr>
        <w:t>：</w:t>
      </w:r>
    </w:p>
    <w:p>
      <w:pPr>
        <w:tabs>
          <w:tab w:val="left" w:pos="1182"/>
        </w:tabs>
        <w:ind w:left="360" w:right="-317" w:rightChars="-151"/>
        <w:rPr>
          <w:rFonts w:ascii="宋体" w:hAnsi="宋体" w:cs="宋体"/>
          <w:bCs/>
          <w:color w:val="FF0000"/>
          <w:spacing w:val="-4"/>
          <w:szCs w:val="21"/>
        </w:rPr>
      </w:pPr>
      <w:r>
        <w:rPr>
          <w:rFonts w:hint="eastAsia" w:ascii="宋体" w:hAnsi="宋体" w:cs="宋体"/>
          <w:bCs/>
          <w:color w:val="FF0000"/>
          <w:spacing w:val="-4"/>
          <w:szCs w:val="21"/>
        </w:rPr>
        <w:t>（一）代理服务费以《中标通知书》确定的中标金额作为计算基数，按差额定率累进法计算。</w:t>
      </w:r>
    </w:p>
    <w:p>
      <w:pPr>
        <w:tabs>
          <w:tab w:val="left" w:pos="1182"/>
        </w:tabs>
        <w:ind w:left="360" w:right="-317" w:rightChars="-151"/>
        <w:rPr>
          <w:rFonts w:ascii="宋体" w:hAnsi="宋体" w:cs="宋体"/>
          <w:bCs/>
          <w:color w:val="FF0000"/>
          <w:spacing w:val="-4"/>
          <w:szCs w:val="21"/>
        </w:rPr>
      </w:pPr>
      <w:r>
        <w:rPr>
          <w:rFonts w:hint="eastAsia" w:ascii="宋体" w:hAnsi="宋体" w:cs="宋体"/>
          <w:bCs/>
          <w:color w:val="FF0000"/>
          <w:spacing w:val="-4"/>
          <w:szCs w:val="21"/>
        </w:rPr>
        <w:t>（二）中标金额的各部分费率如下表：</w:t>
      </w:r>
    </w:p>
    <w:tbl>
      <w:tblPr>
        <w:tblStyle w:val="43"/>
        <w:tblW w:w="7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1440"/>
        <w:gridCol w:w="139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87" w:type="dxa"/>
            <w:tcBorders>
              <w:tl2br w:val="single" w:color="auto" w:sz="4" w:space="0"/>
            </w:tcBorders>
            <w:vAlign w:val="center"/>
          </w:tcPr>
          <w:p>
            <w:pPr>
              <w:widowControl/>
              <w:spacing w:before="120" w:beforeLines="50" w:after="120" w:afterLines="50" w:line="240" w:lineRule="exact"/>
              <w:ind w:firstLine="1470" w:firstLineChars="700"/>
              <w:jc w:val="left"/>
              <w:rPr>
                <w:rFonts w:ascii="宋体" w:hAnsi="宋体" w:cs="仿宋_GB2312"/>
                <w:bCs/>
                <w:color w:val="FF0000"/>
                <w:kern w:val="0"/>
                <w:szCs w:val="21"/>
              </w:rPr>
            </w:pPr>
            <w:r>
              <w:rPr>
                <w:rFonts w:hint="eastAsia" w:ascii="宋体" w:hAnsi="宋体" w:cs="仿宋_GB2312"/>
                <w:bCs/>
                <w:color w:val="FF0000"/>
                <w:kern w:val="0"/>
                <w:szCs w:val="21"/>
              </w:rPr>
              <w:t>类别</w:t>
            </w:r>
          </w:p>
          <w:p>
            <w:pPr>
              <w:widowControl/>
              <w:spacing w:before="120" w:beforeLines="50" w:after="120" w:afterLines="50" w:line="240" w:lineRule="exact"/>
              <w:jc w:val="left"/>
              <w:rPr>
                <w:rFonts w:ascii="宋体" w:hAnsi="宋体" w:cs="仿宋_GB2312"/>
                <w:bCs/>
                <w:color w:val="FF0000"/>
                <w:kern w:val="0"/>
                <w:szCs w:val="21"/>
              </w:rPr>
            </w:pPr>
            <w:r>
              <w:rPr>
                <w:rFonts w:hint="eastAsia" w:ascii="宋体" w:hAnsi="宋体" w:cs="仿宋_GB2312"/>
                <w:bCs/>
                <w:color w:val="FF0000"/>
                <w:kern w:val="0"/>
                <w:szCs w:val="21"/>
              </w:rPr>
              <w:t>金额(万元)</w:t>
            </w:r>
          </w:p>
        </w:tc>
        <w:tc>
          <w:tcPr>
            <w:tcW w:w="1440" w:type="dxa"/>
            <w:vAlign w:val="center"/>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工程招标</w:t>
            </w:r>
          </w:p>
        </w:tc>
        <w:tc>
          <w:tcPr>
            <w:tcW w:w="1395" w:type="dxa"/>
            <w:vAlign w:val="center"/>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货物招标</w:t>
            </w:r>
          </w:p>
        </w:tc>
        <w:tc>
          <w:tcPr>
            <w:tcW w:w="1439" w:type="dxa"/>
            <w:vAlign w:val="center"/>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100以下</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1.50%</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100-500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0.70%</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1.10%</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500-1000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0.55%</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0.80%</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1000-5000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0.35%</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0.50%</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5000-10000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0.20%</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0.25%</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10000-50000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0.05%</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0.05%</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50000-100000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0.035%</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0.035%</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100000-500000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0.008%</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0.008%</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500000-1000000</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0.006%</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0.006%</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87"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1000000以上</w:t>
            </w:r>
          </w:p>
        </w:tc>
        <w:tc>
          <w:tcPr>
            <w:tcW w:w="1440"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0.004%</w:t>
            </w:r>
          </w:p>
        </w:tc>
        <w:tc>
          <w:tcPr>
            <w:tcW w:w="1395"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0.004%</w:t>
            </w:r>
          </w:p>
        </w:tc>
        <w:tc>
          <w:tcPr>
            <w:tcW w:w="1439" w:type="dxa"/>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0.004%</w:t>
            </w:r>
          </w:p>
        </w:tc>
      </w:tr>
    </w:tbl>
    <w:p>
      <w:pPr>
        <w:ind w:firstLine="420" w:firstLineChars="200"/>
        <w:rPr>
          <w:rFonts w:ascii="宋体" w:hAnsi="宋体" w:cs="宋体"/>
          <w:color w:val="FF0000"/>
          <w:szCs w:val="21"/>
        </w:rPr>
      </w:pPr>
      <w:r>
        <w:rPr>
          <w:rFonts w:hint="eastAsia" w:ascii="宋体" w:hAnsi="宋体" w:cs="宋体"/>
          <w:color w:val="FF0000"/>
          <w:szCs w:val="21"/>
        </w:rPr>
        <w:t>如某货物招标项目，中标金额为600万，需交纳的代理服务费具体计算如下：</w:t>
      </w:r>
    </w:p>
    <w:p>
      <w:pPr>
        <w:ind w:firstLine="420" w:firstLineChars="200"/>
        <w:rPr>
          <w:rFonts w:ascii="宋体" w:hAnsi="宋体" w:cs="宋体"/>
          <w:color w:val="FF0000"/>
          <w:szCs w:val="21"/>
        </w:rPr>
      </w:pPr>
      <w:r>
        <w:rPr>
          <w:rFonts w:hint="eastAsia" w:ascii="宋体" w:hAnsi="宋体" w:cs="宋体"/>
          <w:color w:val="FF0000"/>
          <w:szCs w:val="21"/>
        </w:rPr>
        <w:t>代理服务费＝（100万以下部分的代理服务费）+（100万～500万部分的代理服务费）+（500万～600万部分的代理服务费）＝100万元×1.5%+（500-100）万元×1.1%+（600-500）万元×0.8%=1.5万元+4.4万元+0.8万元＝6.7万元</w:t>
      </w:r>
    </w:p>
    <w:p>
      <w:pPr>
        <w:ind w:firstLine="420" w:firstLineChars="200"/>
        <w:rPr>
          <w:rFonts w:ascii="宋体" w:hAnsi="宋体" w:cs="宋体"/>
          <w:color w:val="FF0000"/>
          <w:szCs w:val="21"/>
        </w:rPr>
      </w:pPr>
      <w:r>
        <w:rPr>
          <w:rFonts w:hint="eastAsia" w:ascii="宋体" w:hAnsi="宋体" w:cs="宋体"/>
          <w:color w:val="FF0000"/>
          <w:szCs w:val="21"/>
        </w:rPr>
        <w:t>（三）每宗交易代理服务费不低于5000元；</w:t>
      </w:r>
    </w:p>
    <w:p>
      <w:pPr>
        <w:ind w:firstLine="420" w:firstLineChars="200"/>
        <w:rPr>
          <w:rFonts w:ascii="宋体" w:hAnsi="宋体" w:cs="宋体"/>
          <w:color w:val="FF0000"/>
          <w:szCs w:val="21"/>
        </w:rPr>
      </w:pPr>
      <w:r>
        <w:rPr>
          <w:rFonts w:hint="eastAsia" w:ascii="宋体" w:hAnsi="宋体" w:cs="宋体"/>
          <w:color w:val="FF0000"/>
          <w:szCs w:val="21"/>
        </w:rPr>
        <w:t>（四）中标供应商中标后，必须按规定采用银行对公转账方式向深圳交易集团有限公司直接交纳代理服务费，交纳信息及要求按以下规定执行：</w:t>
      </w:r>
    </w:p>
    <w:p>
      <w:pPr>
        <w:ind w:firstLine="422" w:firstLineChars="200"/>
        <w:rPr>
          <w:rFonts w:ascii="宋体" w:hAnsi="宋体" w:cs="宋体"/>
          <w:bCs/>
          <w:color w:val="FF0000"/>
          <w:szCs w:val="21"/>
        </w:rPr>
      </w:pPr>
      <w:r>
        <w:rPr>
          <w:rFonts w:hint="eastAsia" w:ascii="宋体" w:hAnsi="宋体" w:cs="宋体"/>
          <w:b/>
          <w:bCs/>
          <w:color w:val="FF0000"/>
          <w:szCs w:val="21"/>
        </w:rPr>
        <w:t>基本户信息：</w:t>
      </w:r>
    </w:p>
    <w:p>
      <w:pPr>
        <w:ind w:firstLine="420" w:firstLineChars="200"/>
        <w:rPr>
          <w:rFonts w:ascii="宋体" w:hAnsi="宋体" w:cs="宋体"/>
          <w:color w:val="FF0000"/>
          <w:szCs w:val="21"/>
        </w:rPr>
      </w:pPr>
      <w:r>
        <w:rPr>
          <w:rFonts w:hint="eastAsia" w:ascii="宋体" w:hAnsi="宋体" w:cs="宋体"/>
          <w:color w:val="FF0000"/>
          <w:szCs w:val="21"/>
        </w:rPr>
        <w:t>账户名：深圳交易集团有限公司</w:t>
      </w:r>
    </w:p>
    <w:p>
      <w:pPr>
        <w:ind w:firstLine="420" w:firstLineChars="200"/>
        <w:rPr>
          <w:rFonts w:ascii="宋体" w:hAnsi="宋体" w:cs="宋体"/>
          <w:color w:val="FF0000"/>
          <w:szCs w:val="21"/>
        </w:rPr>
      </w:pPr>
      <w:r>
        <w:rPr>
          <w:rFonts w:hint="eastAsia" w:ascii="宋体" w:hAnsi="宋体" w:cs="宋体"/>
          <w:color w:val="FF0000"/>
          <w:szCs w:val="21"/>
        </w:rPr>
        <w:t>账号：632765883</w:t>
      </w:r>
    </w:p>
    <w:p>
      <w:pPr>
        <w:ind w:firstLine="420" w:firstLineChars="200"/>
        <w:rPr>
          <w:rFonts w:ascii="宋体" w:hAnsi="宋体" w:cs="宋体"/>
          <w:color w:val="FF0000"/>
          <w:szCs w:val="21"/>
        </w:rPr>
      </w:pPr>
      <w:r>
        <w:rPr>
          <w:rFonts w:hint="eastAsia" w:ascii="宋体" w:hAnsi="宋体" w:cs="宋体"/>
          <w:color w:val="FF0000"/>
          <w:szCs w:val="21"/>
        </w:rPr>
        <w:t>开户行：民生银行深圳五洲支行</w:t>
      </w:r>
    </w:p>
    <w:p>
      <w:pPr>
        <w:ind w:firstLine="422" w:firstLineChars="200"/>
        <w:rPr>
          <w:rFonts w:ascii="宋体" w:hAnsi="宋体" w:cs="宋体"/>
          <w:bCs/>
          <w:color w:val="FF0000"/>
          <w:szCs w:val="21"/>
        </w:rPr>
      </w:pPr>
      <w:r>
        <w:rPr>
          <w:rFonts w:hint="eastAsia" w:ascii="宋体" w:hAnsi="宋体" w:cs="宋体"/>
          <w:b/>
          <w:bCs/>
          <w:color w:val="FF0000"/>
          <w:szCs w:val="21"/>
        </w:rPr>
        <w:t>转账备注：</w:t>
      </w:r>
    </w:p>
    <w:p>
      <w:pPr>
        <w:ind w:firstLine="420" w:firstLineChars="200"/>
      </w:pPr>
      <w:r>
        <w:rPr>
          <w:rFonts w:hint="eastAsia" w:ascii="宋体" w:hAnsi="宋体" w:cs="宋体"/>
          <w:bCs/>
          <w:color w:val="FF0000"/>
          <w:szCs w:val="21"/>
        </w:rPr>
        <w:t>项目编号+项目名称+中标金额+中标供应商名称</w:t>
      </w:r>
    </w:p>
    <w:p>
      <w:pPr>
        <w:spacing w:after="160" w:line="259" w:lineRule="auto"/>
        <w:ind w:firstLine="422" w:firstLineChars="200"/>
        <w:jc w:val="left"/>
        <w:rPr>
          <w:rFonts w:ascii="宋体" w:hAnsi="宋体" w:cs="宋体"/>
          <w:b/>
          <w:color w:val="000000" w:themeColor="text1"/>
          <w:szCs w:val="21"/>
          <w14:textFill>
            <w14:solidFill>
              <w14:schemeClr w14:val="tx1"/>
            </w14:solidFill>
          </w14:textFill>
        </w:rPr>
      </w:pPr>
      <w:r>
        <w:rPr>
          <w:b/>
          <w:color w:val="000000" w:themeColor="text1"/>
          <w14:textFill>
            <w14:solidFill>
              <w14:schemeClr w14:val="tx1"/>
            </w14:solidFill>
          </w14:textFill>
        </w:rPr>
        <w:t>4</w:t>
      </w:r>
      <w:r>
        <w:rPr>
          <w:rFonts w:hint="eastAsia"/>
          <w:b/>
          <w:color w:val="000000" w:themeColor="text1"/>
          <w14:textFill>
            <w14:solidFill>
              <w14:schemeClr w14:val="tx1"/>
            </w14:solidFill>
          </w14:textFill>
        </w:rPr>
        <w:t>、其他说明</w:t>
      </w:r>
    </w:p>
    <w:p>
      <w:pPr>
        <w:wordWrap w:val="0"/>
        <w:spacing w:after="160" w:line="360" w:lineRule="auto"/>
        <w:ind w:firstLine="420" w:firstLineChars="200"/>
      </w:pPr>
      <w:r>
        <w:t>本项目允许使用电子营业执照加、解密，投标（应答）供应商在使用“投标文件制作专用软件”制作投标（应答）文件时，可以通过微信扫码功能调用“电子营业执照”小程序制作、加密、解密投标（应答）响应文件。供应商加密投标（应答）响应文件与开标解密必须使用同一种方式，否则解密失败，导致投标无效（即：使用电子执照加密的，后续开标只能使用电子执照解密）。</w:t>
      </w:r>
    </w:p>
    <w:p>
      <w:pPr>
        <w:wordWrap w:val="0"/>
        <w:spacing w:after="160" w:line="360" w:lineRule="auto"/>
        <w:ind w:firstLine="422" w:firstLineChars="200"/>
        <w:rPr>
          <w:b/>
          <w:bCs/>
        </w:rPr>
      </w:pPr>
      <w:r>
        <w:rPr>
          <w:b/>
          <w:bCs/>
        </w:rPr>
        <w:t>重要提示：</w:t>
      </w:r>
    </w:p>
    <w:p>
      <w:pPr>
        <w:wordWrap w:val="0"/>
        <w:spacing w:after="160" w:line="360" w:lineRule="auto"/>
        <w:ind w:firstLine="420" w:firstLineChars="200"/>
      </w:pPr>
      <w:r>
        <w:t>1、使用电子营业执照功能时，请确保已经在手机微信安装 “电子营业执照”小程序，或已安装了“电子营业执照”APP，并且在 “电子营业执照”小程序/app中完成相应的下载电子营业执照、法人授权、备份密钥等操作（具体详见国家工商总局网站），电子投标地区必须选择 “广东省-深圳市-深圳政府采购智慧平台”（请根据手机小程序/app提示进行设置，或拨打电子营业执照平台技术支持电话010-86355313，15921122750）。</w:t>
      </w:r>
    </w:p>
    <w:p>
      <w:pPr>
        <w:wordWrap w:val="0"/>
        <w:spacing w:after="160" w:line="360" w:lineRule="auto"/>
        <w:ind w:firstLine="420" w:firstLineChars="200"/>
      </w:pPr>
      <w:r>
        <w:t>2、电子营业执照应用于投标文件制作和加解密属于创新应用场景，如不熟悉操作可能导致错过投标截止时间，系统已提供加密、测试解密和撤回重新上传的功能，各投标人须预留充足时间，提前制作和加密上传投标文件。</w:t>
      </w:r>
    </w:p>
    <w:p>
      <w:pPr>
        <w:wordWrap w:val="0"/>
        <w:spacing w:after="160" w:line="360" w:lineRule="auto"/>
        <w:ind w:firstLine="420" w:firstLineChars="200"/>
      </w:pPr>
      <w:r>
        <w:t>3、已办理数字证书（电子密钥）的用户，可以继续使用数字证书完成投标活动。未申请电子营业执照或无法通过电子营业执照完成投标文件制作和加解密的用户，必须使用电子密钥进行投标文件制作和加解密，咨询电话0755-83948165，4008301330（CA办理指引详见链接https://www.szzfcg.cn/portal/documentView.do?method=view&amp;id=597167584）。</w:t>
      </w:r>
    </w:p>
    <w:p>
      <w:pPr>
        <w:pStyle w:val="19"/>
      </w:pPr>
    </w:p>
    <w:bookmarkEnd w:id="34"/>
    <w:p>
      <w:pPr>
        <w:pStyle w:val="5"/>
        <w:rPr>
          <w:sz w:val="28"/>
          <w:szCs w:val="28"/>
        </w:rPr>
      </w:pPr>
      <w:r>
        <w:rPr>
          <w:rFonts w:hint="eastAsia"/>
          <w:sz w:val="28"/>
          <w:szCs w:val="28"/>
        </w:rPr>
        <w:t>第三章 用户需求书</w:t>
      </w:r>
    </w:p>
    <w:p>
      <w:pPr>
        <w:pStyle w:val="5"/>
        <w:spacing w:before="120" w:beforeLines="50" w:after="120" w:afterLines="50"/>
        <w:rPr>
          <w:szCs w:val="24"/>
        </w:rPr>
      </w:pPr>
      <w:r>
        <w:rPr>
          <w:rFonts w:hint="eastAsia"/>
          <w:szCs w:val="24"/>
        </w:rPr>
        <w:t>一、项目基本信息</w:t>
      </w:r>
    </w:p>
    <w:p>
      <w:pPr>
        <w:rPr>
          <w:rFonts w:ascii="宋体" w:hAnsi="宋体"/>
          <w:b/>
          <w:color w:val="FF0000"/>
          <w:szCs w:val="21"/>
        </w:rPr>
      </w:pPr>
    </w:p>
    <w:tbl>
      <w:tblPr>
        <w:tblStyle w:val="43"/>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798"/>
        <w:gridCol w:w="3682"/>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0" w:type="auto"/>
            <w:vAlign w:val="center"/>
          </w:tcPr>
          <w:p>
            <w:pPr>
              <w:jc w:val="center"/>
              <w:rPr>
                <w:bCs/>
                <w:szCs w:val="21"/>
              </w:rPr>
            </w:pPr>
            <w:r>
              <w:rPr>
                <w:rFonts w:hint="eastAsia"/>
                <w:bCs/>
                <w:szCs w:val="21"/>
              </w:rPr>
              <w:t>序号</w:t>
            </w:r>
          </w:p>
        </w:tc>
        <w:tc>
          <w:tcPr>
            <w:tcW w:w="0" w:type="auto"/>
            <w:vAlign w:val="center"/>
          </w:tcPr>
          <w:p>
            <w:pPr>
              <w:jc w:val="center"/>
              <w:rPr>
                <w:bCs/>
                <w:szCs w:val="21"/>
              </w:rPr>
            </w:pPr>
            <w:r>
              <w:rPr>
                <w:rFonts w:hint="eastAsia"/>
                <w:szCs w:val="21"/>
              </w:rPr>
              <w:t>采购计划编号</w:t>
            </w:r>
          </w:p>
        </w:tc>
        <w:tc>
          <w:tcPr>
            <w:tcW w:w="0" w:type="auto"/>
            <w:vAlign w:val="center"/>
          </w:tcPr>
          <w:p>
            <w:pPr>
              <w:jc w:val="center"/>
              <w:rPr>
                <w:bCs/>
                <w:szCs w:val="21"/>
              </w:rPr>
            </w:pPr>
            <w:r>
              <w:rPr>
                <w:rFonts w:hint="eastAsia"/>
                <w:bCs/>
                <w:szCs w:val="21"/>
              </w:rPr>
              <w:t>采购项目名称</w:t>
            </w:r>
          </w:p>
        </w:tc>
        <w:tc>
          <w:tcPr>
            <w:tcW w:w="0" w:type="auto"/>
            <w:vAlign w:val="center"/>
          </w:tcPr>
          <w:p>
            <w:pPr>
              <w:jc w:val="center"/>
              <w:rPr>
                <w:b/>
                <w:bCs/>
                <w:color w:val="FF0000"/>
                <w:szCs w:val="21"/>
              </w:rPr>
            </w:pPr>
            <w:r>
              <w:rPr>
                <w:rFonts w:hint="eastAsia"/>
                <w:b/>
                <w:bCs/>
                <w:color w:val="FF0000"/>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0" w:type="auto"/>
            <w:vAlign w:val="center"/>
          </w:tcPr>
          <w:p>
            <w:pPr>
              <w:jc w:val="center"/>
              <w:rPr>
                <w:bCs/>
                <w:color w:val="FF0000"/>
                <w:szCs w:val="21"/>
              </w:rPr>
            </w:pPr>
            <w:r>
              <w:rPr>
                <w:rFonts w:hint="eastAsia"/>
                <w:bCs/>
                <w:color w:val="FF0000"/>
                <w:szCs w:val="21"/>
              </w:rPr>
              <w:t>1</w:t>
            </w:r>
          </w:p>
        </w:tc>
        <w:tc>
          <w:tcPr>
            <w:tcW w:w="0" w:type="auto"/>
            <w:vAlign w:val="center"/>
          </w:tcPr>
          <w:p>
            <w:pPr>
              <w:jc w:val="center"/>
              <w:rPr>
                <w:bCs/>
                <w:color w:val="FF0000"/>
                <w:szCs w:val="21"/>
              </w:rPr>
            </w:pPr>
            <w:r>
              <w:rPr>
                <w:bCs/>
                <w:color w:val="FF0000"/>
                <w:szCs w:val="21"/>
              </w:rPr>
              <w:t>PLAN-2024-440300000-128001-03747</w:t>
            </w:r>
          </w:p>
        </w:tc>
        <w:tc>
          <w:tcPr>
            <w:tcW w:w="0" w:type="auto"/>
            <w:vAlign w:val="center"/>
          </w:tcPr>
          <w:p>
            <w:pPr>
              <w:jc w:val="center"/>
              <w:rPr>
                <w:b/>
                <w:bCs/>
                <w:color w:val="FF0000"/>
                <w:szCs w:val="21"/>
              </w:rPr>
            </w:pPr>
            <w:r>
              <w:rPr>
                <w:rFonts w:hint="eastAsia"/>
                <w:b/>
                <w:bCs/>
                <w:color w:val="FF0000"/>
                <w:szCs w:val="21"/>
              </w:rPr>
              <w:t>深圳市人民政府口岸办公室深圳智慧口岸建设工程项目</w:t>
            </w:r>
          </w:p>
        </w:tc>
        <w:tc>
          <w:tcPr>
            <w:tcW w:w="0" w:type="auto"/>
            <w:vAlign w:val="center"/>
          </w:tcPr>
          <w:p>
            <w:pPr>
              <w:jc w:val="center"/>
              <w:rPr>
                <w:bCs/>
                <w:color w:val="FF0000"/>
                <w:szCs w:val="21"/>
              </w:rPr>
            </w:pPr>
            <w:r>
              <w:rPr>
                <w:rFonts w:hint="eastAsia"/>
                <w:bCs/>
                <w:color w:val="FF0000"/>
                <w:szCs w:val="21"/>
              </w:rPr>
              <w:t>22791000</w:t>
            </w:r>
          </w:p>
        </w:tc>
      </w:tr>
    </w:tbl>
    <w:p>
      <w:pPr>
        <w:rPr>
          <w:rFonts w:ascii="宋体" w:hAnsi="宋体"/>
          <w:b/>
          <w:color w:val="FF0000"/>
          <w:szCs w:val="21"/>
        </w:rPr>
      </w:pPr>
    </w:p>
    <w:p>
      <w:pPr>
        <w:pStyle w:val="5"/>
        <w:spacing w:before="120" w:beforeLines="50" w:after="120" w:afterLines="50"/>
        <w:rPr>
          <w:szCs w:val="24"/>
        </w:rPr>
      </w:pPr>
      <w:bookmarkStart w:id="39" w:name="_Hlk72258617"/>
      <w:r>
        <w:rPr>
          <w:rFonts w:hint="eastAsia"/>
          <w:szCs w:val="24"/>
        </w:rPr>
        <w:t>二、</w:t>
      </w:r>
      <w:bookmarkStart w:id="40" w:name="_Hlk72073432"/>
      <w:r>
        <w:rPr>
          <w:rFonts w:hint="eastAsia"/>
          <w:szCs w:val="24"/>
        </w:rPr>
        <w:t>货物需求明细</w:t>
      </w:r>
      <w:bookmarkEnd w:id="40"/>
    </w:p>
    <w:tbl>
      <w:tblPr>
        <w:tblStyle w:val="43"/>
        <w:tblW w:w="4998" w:type="pct"/>
        <w:tblInd w:w="0" w:type="dxa"/>
        <w:tblLayout w:type="fixed"/>
        <w:tblCellMar>
          <w:top w:w="0" w:type="dxa"/>
          <w:left w:w="108" w:type="dxa"/>
          <w:bottom w:w="0" w:type="dxa"/>
          <w:right w:w="108" w:type="dxa"/>
        </w:tblCellMar>
      </w:tblPr>
      <w:tblGrid>
        <w:gridCol w:w="891"/>
        <w:gridCol w:w="681"/>
        <w:gridCol w:w="4856"/>
        <w:gridCol w:w="696"/>
        <w:gridCol w:w="650"/>
        <w:gridCol w:w="752"/>
      </w:tblGrid>
      <w:tr>
        <w:tblPrEx>
          <w:tblCellMar>
            <w:top w:w="0" w:type="dxa"/>
            <w:left w:w="108" w:type="dxa"/>
            <w:bottom w:w="0" w:type="dxa"/>
            <w:right w:w="108" w:type="dxa"/>
          </w:tblCellMar>
        </w:tblPrEx>
        <w:trPr>
          <w:trHeight w:val="576"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采购计划编号</w:t>
            </w: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序号</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货物名称（标的名称）</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数量</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单位</w:t>
            </w:r>
          </w:p>
        </w:tc>
        <w:tc>
          <w:tcPr>
            <w:tcW w:w="44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备注</w:t>
            </w:r>
          </w:p>
        </w:tc>
      </w:tr>
      <w:tr>
        <w:tblPrEx>
          <w:tblCellMar>
            <w:top w:w="0" w:type="dxa"/>
            <w:left w:w="108" w:type="dxa"/>
            <w:bottom w:w="0" w:type="dxa"/>
            <w:right w:w="108" w:type="dxa"/>
          </w:tblCellMar>
        </w:tblPrEx>
        <w:trPr>
          <w:trHeight w:val="312" w:hRule="atLeast"/>
        </w:trPr>
        <w:tc>
          <w:tcPr>
            <w:tcW w:w="52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r>
              <w:t>PLAN-2024-440300000-128001-03747</w:t>
            </w:r>
          </w:p>
        </w:tc>
        <w:tc>
          <w:tcPr>
            <w:tcW w:w="4477"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第一部分：智慧口岸运行指挥中心</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一</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指挥大厅信息化系统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拒绝进口</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LED显示大屏系统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小间距LED显示屏</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平方米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4K发送盒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接收卡</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320</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张</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LED显示屏控制系统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配电箱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分线箱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主电缆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次电缆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100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动力线及信号线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 xml:space="preserve">1.10 </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屏体结构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平方米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专业图形工作站</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音频扩声系统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左右线阵全频音箱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左右线阵全频音箱功放</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线阵吊装配件支架1</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线阵吊装配件支架2</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返听音箱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返听音箱功放</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辅助扩声音箱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辅助扩声音箱功放</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2.9</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音频处理器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 xml:space="preserve">2.10 </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数字调音台</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有源监听音箱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无线话筒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无线话筒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天线分配器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话筒天线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放大器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分线盒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线材</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2.19</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抑制器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光纤分布式智控协作平台</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分布式综合控制管理软件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移动端可视化控制系统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双路4K输入节点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双路4K输出节点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光纤拼控卡</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HDMI拼接输出卡</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可视化运维节点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主链路接入交换机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3.9</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主链路万兆光模块</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96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 xml:space="preserve">3.10 </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冗余备链路接入交换机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冗余备链路万兆光模块</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96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100G AOC有源光缆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千兆光转电模块</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中控节点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电源控制器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操控终端</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线材及其他</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远程视频会议系统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会议管理平台</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视频调度录制平台</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多点控制单元MCU</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VDC服务器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高清会议终端</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高清一体摄像机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阵列麦克风</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线材及其他</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数字会议发言系统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会议系统主机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会议主席单元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会议代表单元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无线接入点和收发器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耗材及其他</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专业坐席桌椅</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坐席控制台</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张</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人体工学操作椅</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张</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单层显示器支臂</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单层键盘托盘</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二</w:t>
            </w:r>
          </w:p>
        </w:tc>
        <w:tc>
          <w:tcPr>
            <w:tcW w:w="363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决策室</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LED显示大屏系统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小间距LED显示屏</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12.96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平方米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4K发送盒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接收卡</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张</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LED显示屏控制系统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万兆交换机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双路4K输入节点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双路4K输出节点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配电箱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结构工程</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12.96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平方米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 xml:space="preserve">1.10 </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次电缆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200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电线电缆及其他辅材</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86寸智慧屏一体机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专业图形工作站</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扩声系统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数字调音台</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音频处理器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专业功放</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专业音箱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支架1</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支架2</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无线话筒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话筒天线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2.9</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配套网络机柜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 xml:space="preserve">2.10 </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天线延长线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远程视频会议终端</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高清会议终端</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高清一体摄像机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阵列麦克风</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高清电视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视频会议配套支架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线材及其他</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数字会议发言系统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会议系统主机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会议主席单元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会议代表单元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手拉手会议代表控制内嵌软件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无线接入点和收发器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耗材及其他</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会议桌椅</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24人定制会议桌</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会议椅子</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张</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Style w:val="490"/>
                <w:rFonts w:hAnsi="宋体"/>
                <w:lang w:bidi="ar"/>
              </w:rPr>
              <w:t>三</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Style w:val="490"/>
                <w:rFonts w:hAnsi="宋体"/>
                <w:lang w:bidi="ar"/>
              </w:rPr>
              <w:t>研判室</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86寸智慧屏一体机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双路4K输入节点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双路4K输出节点</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音频处理器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专业功放</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专业音箱</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支架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无线话筒</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9</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话筒天线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10</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配套网络机柜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高清会议终端</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高清一体摄像机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阵列麦克风</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会议系统主机</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会议主席单元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会议代表单元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手拉手会议代表控制内嵌软件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无线接入点和收发器</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12人定制会议桌</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20</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会议椅子</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张</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连接线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插座</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电线电缆及其他辅材</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Style w:val="490"/>
                <w:rFonts w:hAnsi="宋体"/>
                <w:lang w:bidi="ar"/>
              </w:rPr>
              <w:t>四</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Style w:val="490"/>
                <w:rFonts w:hAnsi="宋体"/>
                <w:lang w:bidi="ar"/>
              </w:rPr>
              <w:t>设备间</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UPS系统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UPS系统（配电一体柜）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电池组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配电线缆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空调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空调铜管</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机柜及综合布线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线缆及其他</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气体消防柜及动环监控</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柜式七氟丙烷气体装置</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动环监控系统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77"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第二部分：配套基础设施-信息机房工程</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一</w:t>
            </w:r>
          </w:p>
        </w:tc>
        <w:tc>
          <w:tcPr>
            <w:tcW w:w="284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口岸信息机房</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模块化机柜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拒绝进口</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服务器机柜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密闭通道组件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配电柜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精密空调1</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监控组件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成套线缆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供配电、UPS、空调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市电总配电柜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UPS输出柜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电力电缆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机房用UPS系统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蓄电池</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节</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电池柜及电源线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精密空调2</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2.8</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精密空调3</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动环系统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机房动环监控系统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强电网格桥架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弱电网格桥架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机房综合布线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225</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光纤分配架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4560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网络配线架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理线架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网络跳线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912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条</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二</w:t>
            </w:r>
          </w:p>
        </w:tc>
        <w:tc>
          <w:tcPr>
            <w:tcW w:w="284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海关信息机房</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模块化机柜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服务器机柜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密闭通道组件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精密空调1</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监控组件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成套线缆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供配电、UPS、空调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市电总配电柜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UPS输出柜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电力电缆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机房用UPS系统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蓄电池</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节</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电池柜及电源线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精密空调2</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动环系统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机房动环监控系统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强电网格桥架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弱电网格桥架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机房综合布线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285</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ODF架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架</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光纤分配架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网络配线架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4560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理线架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网络跳线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912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条</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三</w:t>
            </w:r>
          </w:p>
        </w:tc>
        <w:tc>
          <w:tcPr>
            <w:tcW w:w="284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边检信息机房</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模块化机柜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服务器机柜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密闭通道组件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配电柜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精密空调1</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监控组件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成套线缆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供配电、UPS、空调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市电总配电柜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UPS输出柜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电力电缆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机房用UPS系统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蓄电池</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节</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电池柜及电源线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精密空调2</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动环系统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机房动环监控系统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强电网格桥架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弱电网格桥架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机房综合布线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285</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光纤分配架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4560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网络配线架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理线架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网络跳线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912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条</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四</w:t>
            </w:r>
          </w:p>
        </w:tc>
        <w:tc>
          <w:tcPr>
            <w:tcW w:w="284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缉私局信息机房</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模块化机柜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服务器机柜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密闭通道组件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精密空调1</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监控组件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成套线缆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供配电、UPS、空调</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市电总配电柜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UPS输出柜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电力电缆</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机房用UPS系统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蓄电池</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64</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节</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电池柜及电源线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精密空调2</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动环系统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机房动环监控系统</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强电网格桥架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弱电网格桥架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机房综合布线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1920</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米</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网络配线架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理线架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网络跳线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192</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条</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五</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楼层设备间</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网络机柜</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108</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个</w:t>
            </w:r>
          </w:p>
        </w:tc>
        <w:tc>
          <w:tcPr>
            <w:tcW w:w="441"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网络桥架</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静电地板</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1075</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平方米</w:t>
            </w:r>
          </w:p>
        </w:tc>
        <w:tc>
          <w:tcPr>
            <w:tcW w:w="441"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气体消防</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套</w:t>
            </w:r>
          </w:p>
        </w:tc>
        <w:tc>
          <w:tcPr>
            <w:tcW w:w="441"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其他辅材</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36</w:t>
            </w:r>
          </w:p>
        </w:tc>
        <w:tc>
          <w:tcPr>
            <w:tcW w:w="381" w:type="pct"/>
            <w:tcBorders>
              <w:top w:val="single" w:color="000000" w:sz="4" w:space="0"/>
              <w:left w:val="single" w:color="000000" w:sz="4" w:space="0"/>
              <w:bottom w:val="single" w:color="000000" w:sz="4" w:space="0"/>
              <w:right w:val="single" w:color="000000" w:sz="4" w:space="0"/>
            </w:tcBorders>
            <w:shd w:val="clear" w:color="auto" w:fill="FFFFFF"/>
            <w:vAlign w:val="center"/>
          </w:tcPr>
          <w:p>
            <w:r>
              <w:rPr>
                <w:lang w:bidi="ar"/>
              </w:rPr>
              <w:t>项</w:t>
            </w:r>
          </w:p>
        </w:tc>
        <w:tc>
          <w:tcPr>
            <w:tcW w:w="441"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77"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第三部分：配套基础设施-信息网络及光缆</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一</w:t>
            </w:r>
          </w:p>
        </w:tc>
        <w:tc>
          <w:tcPr>
            <w:tcW w:w="284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网络设备及信息安全</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拒绝进口</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rStyle w:val="490"/>
                <w:rFonts w:hAnsi="宋体"/>
                <w:lang w:bidi="ar"/>
              </w:rPr>
              <w:t>口岸办网络设备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政务外网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1.1.1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核心交换机</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1.1.2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1.1.3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下一代防火墙</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1.1.4</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入侵防御设备IPS</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1.1.5</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上网行为管理</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视频网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1.2.1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核心交换机</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rStyle w:val="490"/>
                <w:rFonts w:hAnsi="宋体"/>
                <w:lang w:bidi="ar"/>
              </w:rPr>
              <w:t>海关网络设备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汇聚交换机（管理网）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汇聚交换机（运行网）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汇聚交换机（H986网）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2.4</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汇聚交换机（视频网）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2.5</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2.6</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下一代防火墙（互联网）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2.7</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入侵防御设备IPS（互联网）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2.8</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上网行为管理（互联网）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2.9</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语音程控交换机（语音网）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 xml:space="preserve">2.10 </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综合接入设备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rStyle w:val="490"/>
                <w:rFonts w:hAnsi="宋体"/>
                <w:lang w:bidi="ar"/>
              </w:rPr>
              <w:t>边检网络设备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汇聚交换机（公安网）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汇聚交换机（业务网）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汇聚交换机（梅沙网）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3.4</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汇聚交换机（视频网）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3.5</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3.6</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语音程控交换机（语音网）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3.7</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综合接入设备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3.8</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3.9</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下一代防火墙（互联网）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 xml:space="preserve">3.10 </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入侵防御设备IPS（互联网）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3.11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上网行为管理（互联网）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rStyle w:val="490"/>
                <w:rFonts w:hAnsi="宋体"/>
                <w:lang w:bidi="ar"/>
              </w:rPr>
              <w:t>缉私局网络设备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核心交换机（运行网）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汇聚交换机（运行网）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核心交换机（管理网）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4.4</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汇聚交换机（管理网）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4.5</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核心交换机（视频网）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4.6</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汇聚交换机（公安网）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4.7</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语音程控交换机（语音网）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4.8</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综合接入设备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4.9</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汇聚交换机（互联网）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 xml:space="preserve">4.10 </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下一代防火墙（互联网）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4.11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入侵防御设备IPS（互联网）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4.12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上网行为管理（互联网）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二</w:t>
            </w:r>
          </w:p>
        </w:tc>
        <w:tc>
          <w:tcPr>
            <w:tcW w:w="284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r>
              <w:rPr>
                <w:rFonts w:hint="eastAsia"/>
                <w:lang w:bidi="ar"/>
              </w:rPr>
              <w:t>光缆建设</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1" w:type="pct"/>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敷设光缆1（皇岗临时旅检楼-新综合业务楼，口岸办）</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0.8</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1、拒绝进口；2、含成端接续、ODF设备、光纤分配单元、接头等</w:t>
            </w: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2</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敷设光缆2（皇岗临时旅检楼-新综合业务楼，口岸办）</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0.8</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3</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敷设光缆3（皇岗海关-新综合业务楼）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敷设光缆4（皇岗海关-新综合业务楼）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5</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敷设光缆5（皇岗边检-新综合业务楼）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6</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敷设光缆6（皇岗边检-新综合业务楼）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7</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敷设光缆7（皇岗缉私局-新综合业务楼）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24"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8</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敷设光缆8（皇岗缉私局-新综合业务楼）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0.5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9</w:t>
            </w:r>
          </w:p>
        </w:tc>
        <w:tc>
          <w:tcPr>
            <w:tcW w:w="2847"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传输管道管孔租赁费用</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4.6</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r>
              <w:rPr>
                <w:lang w:bidi="ar"/>
              </w:rPr>
              <w:t>公里</w:t>
            </w:r>
          </w:p>
        </w:tc>
        <w:tc>
          <w:tcPr>
            <w:tcW w:w="4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477"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lang w:bidi="ar"/>
              </w:rPr>
              <w:t>第四部分：软硬件系统集成</w:t>
            </w:r>
          </w:p>
        </w:tc>
      </w:tr>
      <w:tr>
        <w:tblPrEx>
          <w:tblCellMar>
            <w:top w:w="0" w:type="dxa"/>
            <w:left w:w="108" w:type="dxa"/>
            <w:bottom w:w="0" w:type="dxa"/>
            <w:right w:w="108" w:type="dxa"/>
          </w:tblCellMar>
        </w:tblPrEx>
        <w:trPr>
          <w:trHeight w:val="312"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399" w:type="pct"/>
            <w:tcBorders>
              <w:top w:val="single" w:color="000000" w:sz="4" w:space="0"/>
              <w:left w:val="single" w:color="000000" w:sz="4" w:space="0"/>
              <w:bottom w:val="single" w:color="000000" w:sz="4" w:space="0"/>
              <w:right w:val="single" w:color="000000" w:sz="4" w:space="0"/>
            </w:tcBorders>
            <w:vAlign w:val="center"/>
          </w:tcPr>
          <w:p>
            <w:r>
              <w:rPr>
                <w:lang w:bidi="ar"/>
              </w:rPr>
              <w:t>1</w:t>
            </w:r>
          </w:p>
        </w:tc>
        <w:tc>
          <w:tcPr>
            <w:tcW w:w="2847" w:type="pct"/>
            <w:tcBorders>
              <w:top w:val="single" w:color="000000" w:sz="4" w:space="0"/>
              <w:left w:val="single" w:color="000000" w:sz="4" w:space="0"/>
              <w:bottom w:val="single" w:color="000000" w:sz="4" w:space="0"/>
              <w:right w:val="single" w:color="000000" w:sz="4" w:space="0"/>
            </w:tcBorders>
            <w:vAlign w:val="center"/>
          </w:tcPr>
          <w:p>
            <w:r>
              <w:rPr>
                <w:lang w:bidi="ar"/>
              </w:rPr>
              <w:t>软硬件系统集成</w:t>
            </w:r>
          </w:p>
        </w:tc>
        <w:tc>
          <w:tcPr>
            <w:tcW w:w="408" w:type="pct"/>
            <w:tcBorders>
              <w:top w:val="single" w:color="000000" w:sz="4" w:space="0"/>
              <w:left w:val="single" w:color="000000" w:sz="4" w:space="0"/>
              <w:bottom w:val="single" w:color="000000" w:sz="4" w:space="0"/>
              <w:right w:val="single" w:color="000000" w:sz="4" w:space="0"/>
            </w:tcBorders>
            <w:vAlign w:val="center"/>
          </w:tcPr>
          <w:p>
            <w:r>
              <w:rPr>
                <w:lang w:bidi="ar"/>
              </w:rPr>
              <w:t>1</w:t>
            </w:r>
          </w:p>
        </w:tc>
        <w:tc>
          <w:tcPr>
            <w:tcW w:w="381" w:type="pct"/>
            <w:tcBorders>
              <w:top w:val="single" w:color="000000" w:sz="4" w:space="0"/>
              <w:left w:val="single" w:color="000000" w:sz="4" w:space="0"/>
              <w:bottom w:val="single" w:color="000000" w:sz="4" w:space="0"/>
              <w:right w:val="single" w:color="000000" w:sz="4" w:space="0"/>
            </w:tcBorders>
            <w:vAlign w:val="center"/>
          </w:tcPr>
          <w:p>
            <w:r>
              <w:rPr>
                <w:lang w:bidi="ar"/>
              </w:rPr>
              <w:t>项</w:t>
            </w:r>
          </w:p>
        </w:tc>
        <w:tc>
          <w:tcPr>
            <w:tcW w:w="441" w:type="pct"/>
            <w:tcBorders>
              <w:top w:val="single" w:color="000000" w:sz="4" w:space="0"/>
              <w:left w:val="single" w:color="000000" w:sz="4" w:space="0"/>
              <w:bottom w:val="single" w:color="000000" w:sz="4" w:space="0"/>
              <w:right w:val="single" w:color="000000" w:sz="4" w:space="0"/>
            </w:tcBorders>
            <w:noWrap/>
            <w:vAlign w:val="center"/>
          </w:tcPr>
          <w:p/>
        </w:tc>
      </w:tr>
    </w:tbl>
    <w:p>
      <w:pPr>
        <w:ind w:firstLine="422" w:firstLineChars="200"/>
        <w:rPr>
          <w:rFonts w:ascii="宋体" w:hAnsi="宋体"/>
          <w:b/>
          <w:color w:val="FF0000"/>
          <w:szCs w:val="21"/>
        </w:rPr>
      </w:pPr>
      <w:r>
        <w:rPr>
          <w:rFonts w:hint="eastAsia" w:ascii="宋体" w:hAnsi="宋体"/>
          <w:b/>
          <w:color w:val="FF0000"/>
          <w:szCs w:val="21"/>
        </w:rPr>
        <w:t xml:space="preserve">备注：1.备注栏注明“拒绝进口”的产品不接受投标人选用进口产品参与投标；注明“接受进口”的产品允许投标人选用进口产品参与投标，但不排斥国内产品。 </w:t>
      </w:r>
    </w:p>
    <w:p>
      <w:pPr>
        <w:ind w:firstLine="422" w:firstLineChars="200"/>
        <w:rPr>
          <w:rFonts w:ascii="宋体" w:hAnsi="宋体"/>
          <w:b/>
          <w:color w:val="FF0000"/>
          <w:szCs w:val="21"/>
        </w:rPr>
      </w:pPr>
      <w:r>
        <w:rPr>
          <w:rFonts w:hint="eastAsia" w:ascii="宋体" w:hAnsi="宋体"/>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ind w:firstLine="422" w:firstLineChars="200"/>
        <w:rPr>
          <w:rFonts w:ascii="宋体" w:hAnsi="宋体"/>
          <w:b/>
          <w:color w:val="FF0000"/>
          <w:szCs w:val="21"/>
        </w:rPr>
      </w:pPr>
      <w:r>
        <w:rPr>
          <w:rFonts w:hint="eastAsia" w:ascii="宋体" w:hAnsi="宋体"/>
          <w:b/>
          <w:color w:val="FF0000"/>
          <w:szCs w:val="21"/>
        </w:rPr>
        <w:t>3、本项目核心产品为：</w:t>
      </w:r>
      <w:r>
        <w:rPr>
          <w:rFonts w:hint="eastAsia" w:ascii="宋体" w:hAnsi="宋体"/>
          <w:b/>
          <w:color w:val="FF0000"/>
          <w:szCs w:val="21"/>
          <w:u w:val="single"/>
        </w:rPr>
        <w:t>第一部分：智慧口岸运行指挥中心/一、指挥大厅信息化系统/1LED显示大屏系统/1.1小间距LED显示屏，第三部分：配套基础设施-信息网络及光缆/一、网络设备及信息安全/1.口岸办网络设备/1.1政务外网/1.1.1核心交换机</w:t>
      </w:r>
      <w:r>
        <w:rPr>
          <w:rFonts w:hint="eastAsia" w:ascii="宋体" w:hAnsi="宋体"/>
          <w:b/>
          <w:color w:val="FF0000"/>
          <w:szCs w:val="21"/>
        </w:rPr>
        <w:t>。</w:t>
      </w:r>
    </w:p>
    <w:bookmarkEnd w:id="39"/>
    <w:p>
      <w:pPr>
        <w:rPr>
          <w:rFonts w:ascii="宋体" w:hAnsi="宋体"/>
          <w:b/>
          <w:color w:val="FF0000"/>
          <w:szCs w:val="21"/>
        </w:rPr>
      </w:pPr>
    </w:p>
    <w:p>
      <w:pPr>
        <w:pStyle w:val="5"/>
        <w:spacing w:before="120" w:beforeLines="50" w:after="120" w:afterLines="50"/>
        <w:rPr>
          <w:sz w:val="28"/>
          <w:szCs w:val="28"/>
        </w:rPr>
      </w:pPr>
      <w:bookmarkStart w:id="41" w:name="_Toc128884461"/>
      <w:r>
        <w:rPr>
          <w:rFonts w:hint="eastAsia"/>
          <w:sz w:val="28"/>
          <w:szCs w:val="28"/>
        </w:rPr>
        <w:t>三、实质性条款</w:t>
      </w:r>
    </w:p>
    <w:bookmarkEnd w:id="41"/>
    <w:tbl>
      <w:tblPr>
        <w:tblStyle w:val="4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5" w:type="dxa"/>
            <w:vAlign w:val="center"/>
          </w:tcPr>
          <w:p>
            <w:r>
              <w:rPr>
                <w:rFonts w:hint="eastAsia"/>
              </w:rPr>
              <w:t>序号</w:t>
            </w:r>
          </w:p>
        </w:tc>
        <w:tc>
          <w:tcPr>
            <w:tcW w:w="7483" w:type="dxa"/>
            <w:vAlign w:val="center"/>
          </w:tcPr>
          <w:p>
            <w:r>
              <w:rPr>
                <w:rFonts w:hint="eastAsia"/>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r>
              <w:rPr>
                <w:rFonts w:hint="eastAsia"/>
              </w:rPr>
              <w:t>1</w:t>
            </w:r>
          </w:p>
        </w:tc>
        <w:tc>
          <w:tcPr>
            <w:tcW w:w="7483" w:type="dxa"/>
          </w:tcPr>
          <w:p>
            <w:r>
              <w:rPr>
                <w:rFonts w:hint="eastAsia"/>
              </w:rPr>
              <w:t>满足本项目标★的条款要求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r>
              <w:rPr>
                <w:rFonts w:hint="eastAsia"/>
              </w:rPr>
              <w:t>2</w:t>
            </w:r>
          </w:p>
        </w:tc>
        <w:tc>
          <w:tcPr>
            <w:tcW w:w="7483" w:type="dxa"/>
          </w:tcPr>
          <w:p>
            <w:r>
              <w:rPr>
                <w:rFonts w:hint="eastAsia"/>
              </w:rPr>
              <w:t>采购人所采购产品本项目以第三章用户需求书《二、货物需求明细》中第二部分：配套基础设施-信息机房工程中一口岸信息机房1模块化机柜、《二、货物需求明细》中第二部分：配套基础设施-信息机房工程中二海关信息机房1模块化机柜、《二、货物需求明细》中第二部分：配套基础设施-信息机房工程中三边检信息机房1模块化机柜、《二、货物需求明细》中第二部分：配套基础设施-信息机房工程中四缉私局信息机房1模块化机柜，投标人应提供所投产品满足财政部《绿色数据中心政府采购需求标准（试行）》（财办库〔2023〕7号）及相应法律法规和强制性标准的承诺函（在《政府采购投标及履约承诺函》中承诺视为符合规定），无需提供检测报告、认证报告。未提供承诺函将视为投标无效。</w:t>
            </w:r>
          </w:p>
        </w:tc>
      </w:tr>
    </w:tbl>
    <w:p>
      <w:pPr>
        <w:rPr>
          <w:sz w:val="22"/>
        </w:rPr>
      </w:pPr>
      <w:r>
        <w:rPr>
          <w:rFonts w:hint="eastAsia"/>
          <w:sz w:val="22"/>
        </w:rPr>
        <w:t>注：上表所列内容为不可负偏离条款，负偏离将视为未实质性满足招标文件要求和条件作投标无效处理。</w:t>
      </w:r>
    </w:p>
    <w:p>
      <w:pPr>
        <w:rPr>
          <w:b/>
          <w:szCs w:val="21"/>
        </w:rPr>
      </w:pPr>
    </w:p>
    <w:p>
      <w:pPr>
        <w:pStyle w:val="5"/>
        <w:spacing w:before="120" w:beforeLines="50" w:after="120" w:afterLines="50"/>
        <w:rPr>
          <w:sz w:val="28"/>
          <w:szCs w:val="28"/>
        </w:rPr>
      </w:pPr>
      <w:r>
        <w:rPr>
          <w:rFonts w:hint="eastAsia"/>
          <w:sz w:val="28"/>
          <w:szCs w:val="28"/>
        </w:rPr>
        <w:t>四、技术要求</w:t>
      </w:r>
    </w:p>
    <w:p>
      <w:pPr>
        <w:ind w:firstLine="422" w:firstLineChars="200"/>
        <w:rPr>
          <w:b/>
        </w:rPr>
      </w:pPr>
      <w:r>
        <w:rPr>
          <w:rFonts w:hint="eastAsia"/>
          <w:b/>
          <w:szCs w:val="21"/>
        </w:rPr>
        <w:t>说明：</w:t>
      </w:r>
      <w:r>
        <w:rPr>
          <w:b/>
        </w:rPr>
        <w:t>1</w:t>
      </w:r>
      <w:r>
        <w:rPr>
          <w:rFonts w:hint="eastAsia"/>
          <w:b/>
        </w:rPr>
        <w:t>、评分时，如对一项招标技术要求（以划分框为准）中的内容存在两处（或以上）负偏离的，在评分时只作一项负偏离扣分。</w:t>
      </w:r>
    </w:p>
    <w:p>
      <w:pPr>
        <w:ind w:firstLine="422" w:firstLineChars="200"/>
        <w:rPr>
          <w:b/>
          <w:szCs w:val="21"/>
        </w:rPr>
      </w:pPr>
      <w:r>
        <w:rPr>
          <w:b/>
          <w:szCs w:val="21"/>
        </w:rPr>
        <w:t>2</w:t>
      </w:r>
      <w:r>
        <w:rPr>
          <w:rFonts w:hint="eastAsia"/>
          <w:b/>
          <w:szCs w:val="21"/>
        </w:rPr>
        <w:t>、带“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”指标项为重要参数条款，负偏离时依相关评分准则内容作重点扣分处理。</w:t>
      </w:r>
    </w:p>
    <w:p>
      <w:pPr>
        <w:ind w:firstLine="422" w:firstLineChars="200"/>
        <w:rPr>
          <w:b/>
          <w:szCs w:val="21"/>
        </w:rPr>
      </w:pPr>
      <w:r>
        <w:rPr>
          <w:b/>
          <w:szCs w:val="21"/>
        </w:rPr>
        <w:t>3</w:t>
      </w:r>
      <w:r>
        <w:rPr>
          <w:rFonts w:hint="eastAsia"/>
          <w:b/>
          <w:szCs w:val="21"/>
        </w:rPr>
        <w:t>、</w:t>
      </w:r>
      <w:bookmarkStart w:id="42" w:name="_Hlk72585069"/>
      <w:r>
        <w:rPr>
          <w:rFonts w:hint="eastAsia"/>
          <w:b/>
          <w:szCs w:val="21"/>
        </w:rPr>
        <w:t>招标技术要求中，用</w:t>
      </w:r>
      <w:r>
        <w:rPr>
          <w:rFonts w:hint="eastAsia"/>
          <w:b/>
          <w:color w:val="FF0000"/>
          <w:szCs w:val="21"/>
        </w:rPr>
        <w:t>红色加粗字体标注</w:t>
      </w:r>
      <w:r>
        <w:rPr>
          <w:rFonts w:hint="eastAsia"/>
          <w:b/>
          <w:szCs w:val="21"/>
        </w:rPr>
        <w:t>的指标项均要求提供证明资料，其余指标项未要求提供证明资料，无需提供相关证明资料。</w:t>
      </w:r>
    </w:p>
    <w:p>
      <w:pPr>
        <w:ind w:firstLine="422" w:firstLineChars="200"/>
        <w:rPr>
          <w:b/>
          <w:szCs w:val="21"/>
        </w:rPr>
      </w:pPr>
      <w:r>
        <w:rPr>
          <w:rFonts w:hint="eastAsia"/>
          <w:b/>
          <w:color w:val="FF0000"/>
        </w:rPr>
        <w:t>4</w:t>
      </w:r>
      <w:r>
        <w:rPr>
          <w:b/>
          <w:color w:val="FF0000"/>
        </w:rPr>
        <w:t>、涉及区间的参数，除特别注明以外，</w:t>
      </w:r>
      <w:bookmarkStart w:id="43" w:name="_Hlk75447406"/>
      <w:r>
        <w:rPr>
          <w:b/>
          <w:color w:val="FF0000"/>
        </w:rPr>
        <w:t>产品参数区间与招标要求不一致的均视为负偏离。</w:t>
      </w:r>
      <w:bookmarkEnd w:id="43"/>
      <w:r>
        <w:rPr>
          <w:rFonts w:hint="eastAsia"/>
          <w:b/>
          <w:color w:val="FF0000"/>
        </w:rPr>
        <w:t>例：区间要求为0-20ML,只要响应的不是“0-20ML”，如投标文件响应为 0-15ML 、0-21ML 、1-12ML 、 9-20ML 、6-21ML 、9ML等情形均视为负偏离。</w:t>
      </w:r>
    </w:p>
    <w:bookmarkEnd w:id="42"/>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406"/>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bookmarkStart w:id="44" w:name="_Hlk161340595"/>
            <w:r>
              <w:rPr>
                <w:rFonts w:hint="eastAsia"/>
              </w:rPr>
              <w:t>序号</w:t>
            </w:r>
          </w:p>
        </w:tc>
        <w:tc>
          <w:tcPr>
            <w:tcW w:w="1406" w:type="dxa"/>
            <w:vAlign w:val="center"/>
          </w:tcPr>
          <w:p>
            <w:r>
              <w:rPr>
                <w:rFonts w:hint="eastAsia"/>
              </w:rPr>
              <w:t>货物名称</w:t>
            </w:r>
          </w:p>
        </w:tc>
        <w:tc>
          <w:tcPr>
            <w:tcW w:w="6169" w:type="dxa"/>
            <w:vAlign w:val="center"/>
          </w:tcPr>
          <w:p>
            <w:r>
              <w:rPr>
                <w:rFonts w:hint="eastAsia"/>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522" w:type="dxa"/>
            <w:gridSpan w:val="3"/>
            <w:vAlign w:val="center"/>
          </w:tcPr>
          <w:p>
            <w:r>
              <w:rPr>
                <w:rFonts w:hint="eastAsia"/>
              </w:rPr>
              <w:t>第一部分：智慧口岸运行指挥中心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47" w:type="dxa"/>
            <w:noWrap/>
            <w:vAlign w:val="center"/>
          </w:tcPr>
          <w:p>
            <w:r>
              <w:rPr>
                <w:rFonts w:hint="eastAsia"/>
              </w:rPr>
              <w:t>一</w:t>
            </w:r>
          </w:p>
        </w:tc>
        <w:tc>
          <w:tcPr>
            <w:tcW w:w="7575" w:type="dxa"/>
            <w:gridSpan w:val="2"/>
            <w:vAlign w:val="center"/>
          </w:tcPr>
          <w:p>
            <w:r>
              <w:rPr>
                <w:rFonts w:hint="eastAsia"/>
              </w:rPr>
              <w:t>指挥大厅信息化系统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vAlign w:val="center"/>
          </w:tcPr>
          <w:p>
            <w:r>
              <w:rPr>
                <w:rFonts w:hint="eastAsia"/>
              </w:rPr>
              <w:t>LED显示大屏系统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w:t>
            </w:r>
          </w:p>
        </w:tc>
        <w:tc>
          <w:tcPr>
            <w:tcW w:w="1406" w:type="dxa"/>
            <w:vMerge w:val="restart"/>
            <w:vAlign w:val="center"/>
          </w:tcPr>
          <w:p>
            <w:r>
              <w:rPr>
                <w:rFonts w:hint="eastAsia"/>
              </w:rPr>
              <w:t>小间距LED显示屏</w:t>
            </w:r>
          </w:p>
        </w:tc>
        <w:tc>
          <w:tcPr>
            <w:tcW w:w="6169" w:type="dxa"/>
            <w:vAlign w:val="center"/>
          </w:tcPr>
          <w:p>
            <w:r>
              <w:rPr>
                <w:rFonts w:hint="eastAsia"/>
              </w:rPr>
              <w:t>★1、像素间距＜1.57mm；屏幕面积≥80㎡；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▲2、采用COB倒装封装，采用RGB芯片全倒装技术，晶片直接焊在PCB上，无焊线，散热好，支持巨量转移技术；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3、整屏分辨率≥8448点×3888点；像素密度≥409600点/㎡；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4、对比度：10000:1；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5、一体化压铸铝箱体设计，箱体背板为一次性整体压铸成型，背板和后盖均为压铸铝或铝镁合金材质，全金属自然散热结构，静音无风扇；LED箱体支持X/Y/Z六向调节；外壳防尘等级达到IP5X；</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6、刷新率：≥3840Hz；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lang w:bidi="ar"/>
              </w:rPr>
              <w:t>▲7、采用EBL+技术(enhance black level）,超黑底色，哑面处理，提高屏体的黑色水平，增强屏体的对比度，同时提升观看的舒适度、降低触摸痕迹（提供第三方检测机构出具的检测报告扫描件，原件备查）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lang w:bidi="ar"/>
              </w:rPr>
              <w:t>▲8、光生物安全及低蓝光要求：按 GB/T 20145-2006灯和灯系统的光生物安全性辐亮度无危险标准：辐亮度≤1W/（㎡×sr)符合RG0等级，属于无危害类；对视网膜蓝光危害LB≤1W.m-2.sr-1,属于蓝光无危害（提供第三方检测机构出具的检测报告扫描件，原件备查）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lang w:bidi="ar"/>
              </w:rPr>
            </w:pPr>
            <w:r>
              <w:rPr>
                <w:rFonts w:hint="eastAsia"/>
                <w:b/>
                <w:bCs/>
                <w:color w:val="FF0000"/>
                <w:lang w:bidi="ar"/>
              </w:rPr>
              <w:t>9 显示效果：发光面光泽度≤10GU，反光率≤5%，墨色一致性△E＜0.5，色准△E＜0.9，面光源设计有效抑制 90%摩尔纹（提供第三方检测机构出具的检测报告扫描件，原件备查）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lang w:bidi="ar"/>
              </w:rPr>
            </w:pPr>
            <w:r>
              <w:rPr>
                <w:rFonts w:hint="eastAsia"/>
                <w:b/>
                <w:bCs/>
                <w:color w:val="FF0000"/>
                <w:lang w:bidi="ar"/>
              </w:rPr>
              <w:t>▲10、产品符合CESI产品认证实施规则，符合CESI-PC-OD66中8K超清显示要求（提供证书扫描件，原件备查）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lang w:bidi="ar"/>
              </w:rPr>
            </w:pPr>
            <w:r>
              <w:rPr>
                <w:rFonts w:hint="eastAsia"/>
                <w:b/>
                <w:bCs/>
                <w:color w:val="FF0000"/>
                <w:lang w:bidi="ar"/>
              </w:rPr>
              <w:t>▲11、为保障色彩呈现，所投屏体依据CESI/TS 011-2018认证标准和技术要求，符合色彩品质A级评定，并提供证书扫描件，原件备查。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lang w:bidi="ar"/>
              </w:rPr>
            </w:pPr>
            <w:r>
              <w:rPr>
                <w:rFonts w:hint="eastAsia"/>
                <w:b/>
                <w:bCs/>
                <w:color w:val="FF0000"/>
                <w:lang w:bidi="ar"/>
              </w:rPr>
              <w:t>▲12、提供原厂售后服务承诺函</w:t>
            </w:r>
            <w:r>
              <w:rPr>
                <w:rFonts w:hint="eastAsia"/>
                <w:b/>
                <w:bCs/>
                <w:color w:val="FF0000"/>
                <w:lang w:val="en-US" w:eastAsia="zh-CN" w:bidi="ar"/>
              </w:rPr>
              <w:t>扫描件</w:t>
            </w:r>
            <w:r>
              <w:rPr>
                <w:rFonts w:hint="eastAsia"/>
                <w:b/>
                <w:bCs/>
                <w:color w:val="FF0000"/>
                <w:lang w:eastAsia="zh-CN" w:bidi="ar"/>
              </w:rPr>
              <w:t>（</w:t>
            </w:r>
            <w:r>
              <w:rPr>
                <w:rFonts w:hint="eastAsia"/>
                <w:b/>
                <w:bCs/>
                <w:color w:val="FF0000"/>
                <w:lang w:bidi="ar"/>
              </w:rPr>
              <w:t>免费保修期</w:t>
            </w:r>
            <w:r>
              <w:rPr>
                <w:rFonts w:hint="eastAsia"/>
                <w:b/>
                <w:bCs/>
                <w:color w:val="FF0000"/>
                <w:lang w:val="en-US" w:eastAsia="zh-CN" w:bidi="ar"/>
              </w:rPr>
              <w:t>满足商务条款要求</w:t>
            </w:r>
            <w:r>
              <w:rPr>
                <w:rFonts w:hint="eastAsia"/>
                <w:b/>
                <w:bCs/>
                <w:color w:val="FF0000"/>
                <w:lang w:eastAsia="zh-CN" w:bidi="ar"/>
              </w:rPr>
              <w:t>）</w:t>
            </w:r>
            <w:r>
              <w:rPr>
                <w:rFonts w:hint="eastAsia"/>
                <w:b/>
                <w:bCs/>
                <w:color w:val="FF0000"/>
                <w:lang w:bidi="ar"/>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1.2</w:t>
            </w:r>
          </w:p>
        </w:tc>
        <w:tc>
          <w:tcPr>
            <w:tcW w:w="1406" w:type="dxa"/>
            <w:vMerge w:val="restart"/>
            <w:vAlign w:val="center"/>
          </w:tcPr>
          <w:p>
            <w:r>
              <w:rPr>
                <w:rFonts w:hint="eastAsia"/>
              </w:rPr>
              <w:t>4K发送盒</w:t>
            </w:r>
          </w:p>
        </w:tc>
        <w:tc>
          <w:tcPr>
            <w:tcW w:w="6169" w:type="dxa"/>
            <w:vAlign w:val="center"/>
          </w:tcPr>
          <w:p>
            <w:r>
              <w:rPr>
                <w:rFonts w:hint="eastAsia"/>
              </w:rPr>
              <w:t>1、输入接口：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DVI×4，单链路DVI输入，每路支持≥1920×1200@60HZ视频源输入，向下兼容；支持自定义分辨率宽≥2048、高≥2048；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HDMI2.0×1，支持≥3840×2160@60HZ分辨率视频源输入，向下兼容；支持HDCP1.4和EDID1.4；支持分辨率预设；支持自定义分辨率宽≥8192、高≥8192；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3G-SDI×1，支持≥1920×1080@60HZ分辨率视频源输入，向下兼容，支持去隔行；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网口×16，16路千兆网口输出，带载≥1040万像素；极限带载宽≥16384、高≥8192；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OPT1-4×4，4路10G光纤输出接口，OPT1传输1-8路网口数据；OPT2传输9-16路网口数据；OPT3为OPT1或1-8路网口的复制通道；OPT4为OPT2或9-16路网口的复制通道；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lang w:bidi="ar"/>
              </w:rPr>
              <w:t>▲3、系统支持windows、liux、麒麟等不同操作系统；可在相同或者不同操作系统间操作。（提供第三方检测机构出具的检测报告扫描件，原件备查）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▲4、与显示屏厂家为同一品牌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1.3</w:t>
            </w:r>
          </w:p>
        </w:tc>
        <w:tc>
          <w:tcPr>
            <w:tcW w:w="1406" w:type="dxa"/>
            <w:vMerge w:val="restart"/>
            <w:vAlign w:val="center"/>
          </w:tcPr>
          <w:p>
            <w:r>
              <w:rPr>
                <w:rFonts w:hint="eastAsia"/>
              </w:rPr>
              <w:t>接收卡</w:t>
            </w:r>
          </w:p>
        </w:tc>
        <w:tc>
          <w:tcPr>
            <w:tcW w:w="6169" w:type="dxa"/>
            <w:vAlign w:val="center"/>
          </w:tcPr>
          <w:p>
            <w:r>
              <w:rPr>
                <w:rFonts w:hint="eastAsia"/>
              </w:rPr>
              <w:t>1、接收卡支持3D功能；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2、支持接收卡预存画面设置，可将指定图片设置为显示屏的开机画面、网线断开或无视频源信号时的画面，确保显示屏无黑屏，画面无缝衔接。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1.4</w:t>
            </w:r>
          </w:p>
        </w:tc>
        <w:tc>
          <w:tcPr>
            <w:tcW w:w="1406" w:type="dxa"/>
            <w:vMerge w:val="restart"/>
            <w:vAlign w:val="center"/>
          </w:tcPr>
          <w:p>
            <w:r>
              <w:rPr>
                <w:rFonts w:hint="eastAsia"/>
              </w:rPr>
              <w:t>LED显示屏控制系统</w:t>
            </w:r>
          </w:p>
        </w:tc>
        <w:tc>
          <w:tcPr>
            <w:tcW w:w="6169" w:type="dxa"/>
            <w:vAlign w:val="center"/>
          </w:tcPr>
          <w:p>
            <w:r>
              <w:rPr>
                <w:rFonts w:hint="eastAsia"/>
              </w:rPr>
              <w:t>支持视频、音频、图像、文字、Flash、Gif等形式的媒体文件播放；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支持Microsoft office的Word、Excel、PPT显示；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支持时钟、计时、天气预报显示；支持外部视频信号（TV、AV、S-Video、复合视频）播放；支持多页面多分区节目编辑；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软件提供了丰富灵活的视频切换功能、分区特效，以及三维特效动画。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lang w:bidi="ar"/>
              </w:rPr>
            </w:pPr>
            <w:r>
              <w:rPr>
                <w:rFonts w:hint="eastAsia"/>
                <w:b/>
                <w:bCs/>
                <w:color w:val="FF0000"/>
                <w:lang w:bidi="ar"/>
              </w:rPr>
              <w:t>▲系统提供LED测试工具，用于测试屏幕坏点、屏幕色差及屏幕同步等可能故障信息。（提供第三方检测机构出具的检测报告扫描件，原件备查）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lang w:bidi="ar"/>
              </w:rPr>
            </w:pPr>
            <w:r>
              <w:rPr>
                <w:rFonts w:hint="eastAsia"/>
                <w:b/>
                <w:bCs/>
                <w:color w:val="FF0000"/>
                <w:lang w:bidi="ar"/>
              </w:rPr>
              <w:t>▲支持拼接控制器IP解码卡和硬件解码矩阵对接来实现对视频流媒体平台的视频信号解码。（提供第三方检测机构出具的检测报告扫描件，原件备查）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与LED屏为同一品牌。（需提供软件著作权证书扫描件）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1.5</w:t>
            </w:r>
          </w:p>
        </w:tc>
        <w:tc>
          <w:tcPr>
            <w:tcW w:w="1406" w:type="dxa"/>
            <w:vMerge w:val="restart"/>
            <w:vAlign w:val="center"/>
          </w:tcPr>
          <w:p>
            <w:r>
              <w:rPr>
                <w:rFonts w:hint="eastAsia"/>
              </w:rPr>
              <w:t>配电箱</w:t>
            </w:r>
          </w:p>
        </w:tc>
        <w:tc>
          <w:tcPr>
            <w:tcW w:w="6169" w:type="dxa"/>
            <w:vAlign w:val="center"/>
          </w:tcPr>
          <w:p>
            <w:r>
              <w:rPr>
                <w:rFonts w:hint="eastAsia"/>
              </w:rPr>
              <w:t>1.屏体和设备电源供应及电源管理，≥60KW户内智能配电箱，具有防静电、抗震动、防电磁干扰、抗雷击等功能，具有电源过压、过流、断电保护、分布上电措施，具有实时监控温度、故障报警功能。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lang w:bidi="ar"/>
              </w:rPr>
              <w:t>2.所投智能配电管理系统软件与LED屏体</w:t>
            </w:r>
            <w:r>
              <w:rPr>
                <w:rFonts w:hint="eastAsia"/>
                <w:b/>
                <w:bCs/>
                <w:color w:val="FF0000"/>
                <w:lang w:eastAsia="zh-CN" w:bidi="ar"/>
              </w:rPr>
              <w:t>（小间距LED显示屏，</w:t>
            </w:r>
            <w:r>
              <w:rPr>
                <w:rFonts w:hint="eastAsia"/>
                <w:b/>
                <w:bCs/>
                <w:color w:val="FF0000"/>
                <w:lang w:val="en-US" w:eastAsia="zh-CN" w:bidi="ar"/>
              </w:rPr>
              <w:t>以分项报价表所填报品牌为准</w:t>
            </w:r>
            <w:r>
              <w:rPr>
                <w:rFonts w:hint="eastAsia"/>
                <w:b/>
                <w:bCs/>
                <w:color w:val="FF0000"/>
                <w:lang w:eastAsia="zh-CN" w:bidi="ar"/>
              </w:rPr>
              <w:t>）</w:t>
            </w:r>
            <w:r>
              <w:rPr>
                <w:rFonts w:hint="eastAsia"/>
                <w:b/>
                <w:bCs/>
                <w:color w:val="FF0000"/>
                <w:lang w:bidi="ar"/>
              </w:rPr>
              <w:t>为同一厂家，提供智能配电管理系统软件</w:t>
            </w:r>
            <w:r>
              <w:rPr>
                <w:rFonts w:hint="eastAsia"/>
                <w:b/>
                <w:bCs/>
                <w:color w:val="FF0000"/>
                <w:lang w:eastAsia="zh-CN" w:bidi="ar"/>
              </w:rPr>
              <w:t>的</w:t>
            </w:r>
            <w:r>
              <w:rPr>
                <w:rFonts w:hint="eastAsia"/>
                <w:b/>
                <w:bCs/>
                <w:color w:val="FF0000"/>
                <w:lang w:val="en-US" w:eastAsia="zh-CN" w:bidi="ar"/>
              </w:rPr>
              <w:t>计算机</w:t>
            </w:r>
            <w:r>
              <w:rPr>
                <w:rFonts w:hint="eastAsia"/>
                <w:b/>
                <w:bCs/>
                <w:color w:val="FF0000"/>
                <w:lang w:bidi="ar"/>
              </w:rPr>
              <w:t>软件著作权</w:t>
            </w:r>
            <w:r>
              <w:rPr>
                <w:rFonts w:hint="eastAsia"/>
                <w:b/>
                <w:bCs/>
                <w:color w:val="FF0000"/>
                <w:lang w:val="en-US" w:eastAsia="zh-CN" w:bidi="ar"/>
              </w:rPr>
              <w:t>登记</w:t>
            </w:r>
            <w:r>
              <w:rPr>
                <w:rFonts w:hint="eastAsia"/>
                <w:b/>
                <w:bCs/>
                <w:color w:val="FF0000"/>
                <w:lang w:bidi="ar"/>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1.6</w:t>
            </w:r>
          </w:p>
        </w:tc>
        <w:tc>
          <w:tcPr>
            <w:tcW w:w="1406" w:type="dxa"/>
            <w:vAlign w:val="center"/>
          </w:tcPr>
          <w:p>
            <w:r>
              <w:rPr>
                <w:rFonts w:hint="eastAsia"/>
              </w:rPr>
              <w:t>分线箱</w:t>
            </w:r>
          </w:p>
        </w:tc>
        <w:tc>
          <w:tcPr>
            <w:tcW w:w="6169" w:type="dxa"/>
            <w:noWrap/>
            <w:vAlign w:val="center"/>
          </w:tcPr>
          <w:p>
            <w:r>
              <w:rPr>
                <w:rFonts w:hint="eastAsia"/>
              </w:rPr>
              <w:t>20KW分线箱，带PLC分步上电功能。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1.7</w:t>
            </w:r>
          </w:p>
        </w:tc>
        <w:tc>
          <w:tcPr>
            <w:tcW w:w="1406" w:type="dxa"/>
            <w:vAlign w:val="center"/>
          </w:tcPr>
          <w:p>
            <w:r>
              <w:rPr>
                <w:rFonts w:hint="eastAsia"/>
              </w:rPr>
              <w:t>主电缆</w:t>
            </w:r>
          </w:p>
        </w:tc>
        <w:tc>
          <w:tcPr>
            <w:tcW w:w="6169" w:type="dxa"/>
            <w:noWrap/>
            <w:vAlign w:val="center"/>
          </w:tcPr>
          <w:p>
            <w:r>
              <w:rPr>
                <w:rFonts w:hint="eastAsia"/>
              </w:rPr>
              <w:t>国标YJV4×50+1×25mm2；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1.8</w:t>
            </w:r>
          </w:p>
        </w:tc>
        <w:tc>
          <w:tcPr>
            <w:tcW w:w="1406" w:type="dxa"/>
            <w:vAlign w:val="center"/>
          </w:tcPr>
          <w:p>
            <w:r>
              <w:rPr>
                <w:rFonts w:hint="eastAsia"/>
              </w:rPr>
              <w:t>次电缆</w:t>
            </w:r>
          </w:p>
        </w:tc>
        <w:tc>
          <w:tcPr>
            <w:tcW w:w="6169" w:type="dxa"/>
            <w:noWrap/>
            <w:vAlign w:val="center"/>
          </w:tcPr>
          <w:p>
            <w:r>
              <w:rPr>
                <w:rFonts w:hint="eastAsia"/>
              </w:rPr>
              <w:t>国标YJY5×16mm2；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1.9</w:t>
            </w:r>
          </w:p>
        </w:tc>
        <w:tc>
          <w:tcPr>
            <w:tcW w:w="1406" w:type="dxa"/>
            <w:vAlign w:val="center"/>
          </w:tcPr>
          <w:p>
            <w:r>
              <w:rPr>
                <w:rFonts w:hint="eastAsia"/>
              </w:rPr>
              <w:t>动力线及信号线</w:t>
            </w:r>
          </w:p>
        </w:tc>
        <w:tc>
          <w:tcPr>
            <w:tcW w:w="6169" w:type="dxa"/>
            <w:vAlign w:val="center"/>
          </w:tcPr>
          <w:p>
            <w:r>
              <w:rPr>
                <w:rFonts w:hint="eastAsia"/>
              </w:rPr>
              <w:t>满足大屏需要的LED电力电缆、信号网络电缆、HDMI/DVI线材等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 xml:space="preserve">1.10 </w:t>
            </w:r>
          </w:p>
        </w:tc>
        <w:tc>
          <w:tcPr>
            <w:tcW w:w="1406" w:type="dxa"/>
            <w:vAlign w:val="center"/>
          </w:tcPr>
          <w:p>
            <w:r>
              <w:rPr>
                <w:rFonts w:hint="eastAsia"/>
              </w:rPr>
              <w:t>屏体结构</w:t>
            </w:r>
          </w:p>
        </w:tc>
        <w:tc>
          <w:tcPr>
            <w:tcW w:w="6169" w:type="dxa"/>
            <w:vAlign w:val="center"/>
          </w:tcPr>
          <w:p>
            <w:r>
              <w:rPr>
                <w:rFonts w:hint="eastAsia"/>
              </w:rPr>
              <w:t>定制内弧形铝型材安装结构及铝塑板包边装饰，定制铝型材安装结构，满足整面LED显示屏安装固定需要；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shd w:val="clear" w:color="auto" w:fill="auto"/>
            <w:noWrap/>
            <w:vAlign w:val="center"/>
          </w:tcPr>
          <w:p>
            <w:r>
              <w:rPr>
                <w:rFonts w:hint="eastAsia"/>
              </w:rPr>
              <w:t>1.11</w:t>
            </w:r>
          </w:p>
        </w:tc>
        <w:tc>
          <w:tcPr>
            <w:tcW w:w="1406" w:type="dxa"/>
            <w:vMerge w:val="restart"/>
            <w:shd w:val="clear" w:color="000000" w:fill="FFFFFF"/>
            <w:vAlign w:val="center"/>
          </w:tcPr>
          <w:p>
            <w:r>
              <w:rPr>
                <w:rFonts w:hint="eastAsia"/>
              </w:rPr>
              <w:t>专业图形工作站</w:t>
            </w:r>
          </w:p>
        </w:tc>
        <w:tc>
          <w:tcPr>
            <w:tcW w:w="6169" w:type="dxa"/>
            <w:shd w:val="clear" w:color="000000" w:fill="FFFFFF"/>
            <w:vAlign w:val="center"/>
          </w:tcPr>
          <w:p>
            <w:r>
              <w:rPr>
                <w:rFonts w:hint="eastAsia"/>
              </w:rPr>
              <w:t>1、显卡:≥32G；支持8K输出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2、CPU ≥3.0Ghz；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3、内存：≥</w:t>
            </w:r>
            <w:r>
              <w:t>64</w:t>
            </w:r>
            <w:r>
              <w:rPr>
                <w:rFonts w:hint="eastAsia"/>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4、机械硬盘：≥4TB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5、千兆网卡；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6、预装操作系统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noWrap/>
            <w:vAlign w:val="center"/>
          </w:tcPr>
          <w:p>
            <w:r>
              <w:rPr>
                <w:rFonts w:hint="eastAsia"/>
              </w:rPr>
              <w:t>7、包含1台≥23.8英寸显示器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vAlign w:val="center"/>
          </w:tcPr>
          <w:p>
            <w:r>
              <w:rPr>
                <w:rFonts w:hint="eastAsia"/>
              </w:rPr>
              <w:t>音频扩声系统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w:t>
            </w:r>
          </w:p>
        </w:tc>
        <w:tc>
          <w:tcPr>
            <w:tcW w:w="1406" w:type="dxa"/>
            <w:vMerge w:val="restart"/>
            <w:vAlign w:val="center"/>
          </w:tcPr>
          <w:p>
            <w:r>
              <w:rPr>
                <w:rFonts w:hint="eastAsia"/>
              </w:rPr>
              <w:t>左右线阵全频音箱</w:t>
            </w:r>
          </w:p>
        </w:tc>
        <w:tc>
          <w:tcPr>
            <w:tcW w:w="6169" w:type="dxa"/>
            <w:vAlign w:val="center"/>
          </w:tcPr>
          <w:p>
            <w:r>
              <w:rPr>
                <w:rFonts w:hint="eastAsia"/>
              </w:rPr>
              <w:t>1.频率响应（-10dB）:≥75Hz -20 kHz</w:t>
            </w:r>
            <w:r>
              <w:rPr>
                <w:rFonts w:hint="eastAsia"/>
                <w:lang w:eastAsia="zh-CN"/>
              </w:rPr>
              <w:t>（涵盖</w:t>
            </w:r>
            <w:r>
              <w:rPr>
                <w:rFonts w:hint="eastAsia"/>
                <w:lang w:val="en-US" w:eastAsia="zh-CN"/>
              </w:rPr>
              <w:t>此</w:t>
            </w:r>
            <w:r>
              <w:rPr>
                <w:rFonts w:hint="eastAsia"/>
                <w:lang w:eastAsia="zh-CN"/>
              </w:rPr>
              <w:t>范围视为满足）</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2.灵敏度 (1 W/1m ):≥HF:105dB LF:96dB</w:t>
            </w:r>
            <w:r>
              <w:rPr>
                <w:rFonts w:hint="eastAsia"/>
                <w:lang w:eastAsia="zh-CN"/>
              </w:rPr>
              <w:t>（涵盖</w:t>
            </w:r>
            <w:r>
              <w:rPr>
                <w:rFonts w:hint="eastAsia"/>
                <w:lang w:val="en-US" w:eastAsia="zh-CN"/>
              </w:rPr>
              <w:t>此</w:t>
            </w:r>
            <w:r>
              <w:rPr>
                <w:rFonts w:hint="eastAsia"/>
                <w:lang w:eastAsia="zh-CN"/>
              </w:rPr>
              <w:t>范围视为满足）</w:t>
            </w:r>
            <w:r>
              <w:rPr>
                <w:rFonts w:hint="eastAsia"/>
              </w:rPr>
              <w:t>；</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3.标称阻抗（Ω）: HF:16Ω LF:16Ω；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4.额定功率（W）:≥HF:80W LF:700W</w:t>
            </w:r>
            <w:r>
              <w:rPr>
                <w:rFonts w:hint="eastAsia"/>
                <w:lang w:eastAsia="zh-CN"/>
              </w:rPr>
              <w:t>（涵盖</w:t>
            </w:r>
            <w:r>
              <w:rPr>
                <w:rFonts w:hint="eastAsia"/>
                <w:lang w:val="en-US" w:eastAsia="zh-CN"/>
              </w:rPr>
              <w:t>此</w:t>
            </w:r>
            <w:r>
              <w:rPr>
                <w:rFonts w:hint="eastAsia"/>
                <w:lang w:eastAsia="zh-CN"/>
              </w:rPr>
              <w:t>范围视为满足）</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5.低音单元:≥2×10"；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6.高音单元:≥1×3"；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7.标称覆盖角（H x V）: ≥100°×10°；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8.最大声压级（SPL）:HF:连续≥124dB，峰值≥130dB，LF:连续≥124dB，峰值≥130dB；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2.2</w:t>
            </w:r>
          </w:p>
        </w:tc>
        <w:tc>
          <w:tcPr>
            <w:tcW w:w="1406" w:type="dxa"/>
            <w:vMerge w:val="restart"/>
            <w:vAlign w:val="center"/>
          </w:tcPr>
          <w:p>
            <w:r>
              <w:rPr>
                <w:rFonts w:hint="eastAsia"/>
              </w:rPr>
              <w:t>左右线阵全频音箱功放</w:t>
            </w:r>
          </w:p>
        </w:tc>
        <w:tc>
          <w:tcPr>
            <w:tcW w:w="6169" w:type="dxa"/>
            <w:vAlign w:val="center"/>
          </w:tcPr>
          <w:p>
            <w:r>
              <w:rPr>
                <w:rFonts w:hint="eastAsia" w:ascii="宋体" w:hAnsi="宋体" w:cs="宋体"/>
                <w:b/>
                <w:bCs/>
                <w:color w:val="FF0000"/>
                <w:kern w:val="0"/>
                <w:szCs w:val="21"/>
                <w:lang w:bidi="ar"/>
              </w:rPr>
              <w:t>1.▲采用ClassD技术,转换效率可达90%以上；（提供第三方检测机构出具的检测报告扫描件，原件备查）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2.机身轻、方便携带和安装，高度≤1U；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3.自动限幅输出、短路、过载、过温、开机延时等保护功能；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4.功放配备延时启动系统,保护音箱不受冲击而损坏；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5.后板配备双通道、单通道、桥接输出转换；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6.平衡输入接口,SPEAKON输出；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7.功放开关电源带有单独的冷却系统；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8.散热风扇采用先进的无级变速电路控制。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9.输入灵敏度不少于4级可选。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10.额定功率不低于:2×2000W/8欧，2×3400W/4欧，2×4700W/2欧；桥接：1×4000W/16欧，1×6800W/8欧，1×11500W/4欧；</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11.频率响应不低于:20Hz-20kHz(±3dB)；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12.总谐波失真(THD):≤0.01%；</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13输入阻抗:≥10kΩ(电子平衡式)；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14.信噪比:≥109dB；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15.阻尼系数(20Hz-200Hz):≥500。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2.3</w:t>
            </w:r>
          </w:p>
        </w:tc>
        <w:tc>
          <w:tcPr>
            <w:tcW w:w="1406" w:type="dxa"/>
            <w:vAlign w:val="center"/>
          </w:tcPr>
          <w:p>
            <w:r>
              <w:rPr>
                <w:rFonts w:hint="eastAsia"/>
              </w:rPr>
              <w:t>线阵吊装配件支架1</w:t>
            </w:r>
          </w:p>
        </w:tc>
        <w:tc>
          <w:tcPr>
            <w:tcW w:w="6169" w:type="dxa"/>
            <w:noWrap/>
            <w:vAlign w:val="center"/>
          </w:tcPr>
          <w:p>
            <w:r>
              <w:rPr>
                <w:rFonts w:hint="eastAsia"/>
              </w:rPr>
              <w:t>承重：≥700kg。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2.4</w:t>
            </w:r>
          </w:p>
        </w:tc>
        <w:tc>
          <w:tcPr>
            <w:tcW w:w="1406" w:type="dxa"/>
            <w:vAlign w:val="center"/>
          </w:tcPr>
          <w:p>
            <w:r>
              <w:rPr>
                <w:rFonts w:hint="eastAsia"/>
              </w:rPr>
              <w:t>线阵吊装配件支架2</w:t>
            </w:r>
          </w:p>
        </w:tc>
        <w:tc>
          <w:tcPr>
            <w:tcW w:w="6169" w:type="dxa"/>
            <w:vAlign w:val="center"/>
          </w:tcPr>
          <w:p>
            <w:r>
              <w:rPr>
                <w:rFonts w:hint="eastAsia"/>
              </w:rPr>
              <w:t>1、标配长度：≥6米；包含：2个U型吊扣和2吨吊带。承重：≥2T。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2.5</w:t>
            </w:r>
          </w:p>
        </w:tc>
        <w:tc>
          <w:tcPr>
            <w:tcW w:w="1406" w:type="dxa"/>
            <w:vMerge w:val="restart"/>
            <w:vAlign w:val="center"/>
          </w:tcPr>
          <w:p>
            <w:r>
              <w:rPr>
                <w:rFonts w:hint="eastAsia"/>
              </w:rPr>
              <w:t>返听音箱</w:t>
            </w:r>
          </w:p>
        </w:tc>
        <w:tc>
          <w:tcPr>
            <w:tcW w:w="6169" w:type="dxa"/>
            <w:vAlign w:val="center"/>
          </w:tcPr>
          <w:p>
            <w:r>
              <w:rPr>
                <w:rFonts w:hint="eastAsia"/>
              </w:rPr>
              <w:t>1.阻抗:8Ω;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2.频率范围：≥70Hz-20kHz;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3.特性灵敏度：≥93dB/1W/1m;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4.最大声压级：≥115dB;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5.额定功率：≥250W;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6.覆盖角度：≥H90°×V55°;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7.10"低音×1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8.高音：1.4"压缩高音单元×1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2.6</w:t>
            </w:r>
          </w:p>
        </w:tc>
        <w:tc>
          <w:tcPr>
            <w:tcW w:w="1406" w:type="dxa"/>
            <w:vMerge w:val="restart"/>
            <w:vAlign w:val="center"/>
          </w:tcPr>
          <w:p>
            <w:r>
              <w:rPr>
                <w:rFonts w:hint="eastAsia"/>
              </w:rPr>
              <w:t>返听音箱功放</w:t>
            </w:r>
          </w:p>
        </w:tc>
        <w:tc>
          <w:tcPr>
            <w:tcW w:w="6169" w:type="dxa"/>
            <w:vAlign w:val="center"/>
          </w:tcPr>
          <w:p>
            <w:r>
              <w:rPr>
                <w:rFonts w:hint="eastAsia"/>
              </w:rPr>
              <w:t>1.采用ClassD技术,转换效率可达90%以上；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2.机身轻、方便携带和安装，高度≤1U；；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3.▲自动限幅输出、短路、过载、过温、开机延时等保护功能； （提供第三方检测机构出具的检测报告扫描件，原件备查）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4.功放配备延时启动系统,保护音箱不受冲击而损坏；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5.后板配备双通道、单通道、桥接输出转换；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6.平衡输入接口,SPEAKON输出；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7.功放开关电源带有单独的冷却系统；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8.散热风扇采用先进的无级变速电路控制。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9.额定功率不低于:2×350W/8欧,2×550W/4欧；桥接:1×1000W/8欧；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10.频率响应不低于:20Hz-20kHz(±3dB)；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11.总谐波失真(THD):≤0.01%；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12.输入阻抗:≥10kΩ(电子平衡式)；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13.信噪比:≥109dB；</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14.阻尼系数(20Hz-200Hz):≥500。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2.7</w:t>
            </w:r>
          </w:p>
        </w:tc>
        <w:tc>
          <w:tcPr>
            <w:tcW w:w="1406" w:type="dxa"/>
            <w:vMerge w:val="restart"/>
            <w:vAlign w:val="center"/>
          </w:tcPr>
          <w:p>
            <w:r>
              <w:rPr>
                <w:rFonts w:hint="eastAsia"/>
              </w:rPr>
              <w:t>辅助扩声音箱</w:t>
            </w:r>
          </w:p>
        </w:tc>
        <w:tc>
          <w:tcPr>
            <w:tcW w:w="6169" w:type="dxa"/>
            <w:vAlign w:val="center"/>
          </w:tcPr>
          <w:p>
            <w:r>
              <w:rPr>
                <w:rFonts w:hint="eastAsia"/>
              </w:rPr>
              <w:t>1.阻抗:8Ω;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2.频率范围：≥70Hz-20kHz;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3.特性灵敏度：≥93dB/1W/1m;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4.最大声压级：≥115dB;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5.额定功率：≥250W;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6.覆盖角度：≥H90°×V55°;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7.10"低音×1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8.高音：1.4"压缩高音单元×1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2.8</w:t>
            </w:r>
          </w:p>
        </w:tc>
        <w:tc>
          <w:tcPr>
            <w:tcW w:w="1406" w:type="dxa"/>
            <w:vMerge w:val="restart"/>
            <w:vAlign w:val="center"/>
          </w:tcPr>
          <w:p>
            <w:r>
              <w:rPr>
                <w:rFonts w:hint="eastAsia"/>
              </w:rPr>
              <w:t>辅助扩声音箱功放</w:t>
            </w:r>
          </w:p>
        </w:tc>
        <w:tc>
          <w:tcPr>
            <w:tcW w:w="6169" w:type="dxa"/>
            <w:vAlign w:val="center"/>
          </w:tcPr>
          <w:p>
            <w:r>
              <w:rPr>
                <w:rFonts w:hint="eastAsia"/>
              </w:rPr>
              <w:t>1.采用ClassD技术,转换效率可达90%以上；</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2.机身轻、方便携带和安装，高度≤1U；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3.自动限幅输出、短路、过载、过温、开机延时等保护功能；</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4.功放配备延时启动系统,保护音箱不受冲击而损坏；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5.后板配备双通道、单通道、桥接输出转换；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6.平衡输入接口,SPEAKON输出；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7.功放开关电源带有单独的冷却系统；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8.散热风扇采用无级变速电路控制。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9.额定功率不低于:2×350W/8欧,2×550W/4欧；桥接:1×1000W/8欧；</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10.频率响应不低于:20Hz-20kHz(±3dB)；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11.总谐波失真(THD):≤0.01%；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12.输入阻抗:≥10kΩ(电子平衡式)；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13.信噪比:≥109dB；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14.阻尼系数(20Hz-200Hz):≥500。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2.9</w:t>
            </w:r>
          </w:p>
        </w:tc>
        <w:tc>
          <w:tcPr>
            <w:tcW w:w="1406" w:type="dxa"/>
            <w:vMerge w:val="restart"/>
            <w:vAlign w:val="center"/>
          </w:tcPr>
          <w:p>
            <w:r>
              <w:rPr>
                <w:rFonts w:hint="eastAsia"/>
              </w:rPr>
              <w:t>音频处理器</w:t>
            </w:r>
          </w:p>
        </w:tc>
        <w:tc>
          <w:tcPr>
            <w:tcW w:w="6169" w:type="dxa"/>
            <w:vAlign w:val="center"/>
          </w:tcPr>
          <w:p>
            <w:r>
              <w:rPr>
                <w:rFonts w:hint="eastAsia"/>
              </w:rPr>
              <w:t>1.本地通道数不少于16路输入、16路输出；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2.支持设备工程文件保存至本地，支持多机复制工程，支持设备离线配置等；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3.支持分组式自动混音，可对多只话筒分组管理；可根据声场环境设定的每组的开启麦克风数量，算法自动控制允许输出的话筒数量，提升系统传声增益；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 输入通道处理功能不少于：扩展器、压缩器、动态均衡器，自动增益等；输出通道处理功能不少于：动态均衡器、高低通滤波器、限幅器等；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5.不少于四组自适应反馈消除AFC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6.▲ ≥2组独立的自适应回声消除AEC功能（每组都可以设置模拟通道、RTP网络音频通道、混音通道等AEC，支持AEC任意通道组合设置）；≥4组独立可共享自适应反馈消除AFC（每组都可以设置模拟通道、RTP网络音频通道、混音通道等AFC，支持AFC任意通道组合设置）；支持自动混音功能AM，支持≥4个分组式自动混音，具备自适应噪声消除ANC；（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7.每个输入、输出通道可设定电平控制范围，即设定推子的最大值和最小值；</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8.内置WEB服务器，电脑通过网络连接设备后采用浏览器下载设备控制软件、控制对接 协议、操作手册等相关资料；一个软件可同时管理不少于100台设备；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9.内置智能闪避器Ducker；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10.带RS-485控制接口，内置语音跟踪功能，可控制不少于30台摄像机；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11.支持GPIO，不少于8路GPI，8路GPO；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 支持≥2路RTP网络音频流发送和接收，支持模拟通道、混音通道通过RTP通道传输到远端，支持≥16方远程语音讨论会议；支持单播、组播通讯方式，支持多级网络远程实时传输音频，支持三层路由传输；具备实时传输及流量控制、时间戳与顺序编号、音频数据格式描述与丢包恢复等功能；</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13.支持不少于50个参数预设，可设置调用预设静音(淡入淡出)，调用预设模式时声音不中断。支持局部预设和全局预设，具有模块化预设功能；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14.▲支持与分布式智控协作平台系统数字对接，网络通讯，分布式系统UI界面上可实时查看输入、输出通道动态电平值，可视化管理，一键模式切换、一键视音频联动等。（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 xml:space="preserve">2.10 </w:t>
            </w:r>
          </w:p>
        </w:tc>
        <w:tc>
          <w:tcPr>
            <w:tcW w:w="1406" w:type="dxa"/>
            <w:vMerge w:val="restart"/>
            <w:vAlign w:val="center"/>
          </w:tcPr>
          <w:p>
            <w:r>
              <w:rPr>
                <w:rFonts w:hint="eastAsia"/>
              </w:rPr>
              <w:t>数字调音台</w:t>
            </w:r>
          </w:p>
        </w:tc>
        <w:tc>
          <w:tcPr>
            <w:tcW w:w="6169" w:type="dxa"/>
            <w:vAlign w:val="center"/>
          </w:tcPr>
          <w:p>
            <w:r>
              <w:rPr>
                <w:rFonts w:hint="eastAsia"/>
              </w:rPr>
              <w:t>1.不小于7寸主控电容触摸大屏，可切换中英文显示；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2.不少于9个高精度电动推子，100mm行程；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3.不少于9个1.44寸彩色TFT显示屏，显示通道名称及通道参数信息，支持中英文；</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4.不少于12个MIC/LINE输入，支持48V幻象供电；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5.两组立体声输入；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6.支持U盘录音和播放（立体声）、蓝牙播放；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7.不少于L/R主输出、8路AUX输出、1组立体声监听；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8.具有不少于8个DCA编组控制，8个静音编组；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9.内置不少于两组效果效果器；</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10.MIC/LINE输入通道均有：48V幻象电源、极性切换、噪声门、压限器、四段参量频率均衡（具有低架滤波器）、高通滤波器、低通滤波器；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11.MIC/LINE输入通道可进行自动混音处理，采用权重分配和增益共享智能算法；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12.所有输出通道均有，延时器、图示频率均衡、四段参量均衡器（具有低架滤波器）、高通滤波器、低通滤波器、压限器；</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13.支持IPAD、 中控(IP网络) 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14.自带 WiFi 适配器，支持IOS 苹果 iPad 或安卓平板电脑进行远程遥控操作；</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15.IP 化 HTML5 网页版设备系统管理平台，通过电脑或智能手机即可对设备进行设置和升级；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2.11</w:t>
            </w:r>
          </w:p>
        </w:tc>
        <w:tc>
          <w:tcPr>
            <w:tcW w:w="1406" w:type="dxa"/>
            <w:vMerge w:val="restart"/>
            <w:vAlign w:val="center"/>
          </w:tcPr>
          <w:p>
            <w:r>
              <w:rPr>
                <w:rFonts w:hint="eastAsia"/>
              </w:rPr>
              <w:t>有源监听音箱</w:t>
            </w:r>
          </w:p>
        </w:tc>
        <w:tc>
          <w:tcPr>
            <w:tcW w:w="6169" w:type="dxa"/>
            <w:vAlign w:val="center"/>
          </w:tcPr>
          <w:p>
            <w:r>
              <w:rPr>
                <w:rFonts w:hint="eastAsia"/>
              </w:rPr>
              <w:t>1.多功能输入接口：XLR/RCA/TRS输入；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2.1只≥6英寸低音单元；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3.1只≥1英寸高音单元；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4.频率范围：≥50Hz-20KHz；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5.最大声压级@1米：≥108dB；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6.覆盖角度：≥110°x110°；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7.额定功率：≥75W；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2.12</w:t>
            </w:r>
          </w:p>
        </w:tc>
        <w:tc>
          <w:tcPr>
            <w:tcW w:w="1406" w:type="dxa"/>
            <w:vMerge w:val="restart"/>
            <w:vAlign w:val="center"/>
          </w:tcPr>
          <w:p>
            <w:r>
              <w:rPr>
                <w:rFonts w:hint="eastAsia"/>
              </w:rPr>
              <w:t>无线话筒</w:t>
            </w:r>
          </w:p>
        </w:tc>
        <w:tc>
          <w:tcPr>
            <w:tcW w:w="6169" w:type="dxa"/>
            <w:vAlign w:val="center"/>
          </w:tcPr>
          <w:p>
            <w:r>
              <w:rPr>
                <w:rFonts w:hint="eastAsia"/>
              </w:rPr>
              <w:t>1.含：一台双通道接收机，两只无线手持话筒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2.双通道无线接收机参数不低于以下要求：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3.双天线，低损耗，可拆卸设计；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4.急速红外对频方式；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5.频率范围：≥470-900MHz；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6.可调信道数：≥100；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7.LED高清屏幕显示；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8.音频频响：≥80-16kHz；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9.谐波失真：&lt;0.5%；</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10.信噪比：≥105dB；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ascii="宋体" w:hAnsi="宋体" w:cs="宋体"/>
                <w:b/>
                <w:bCs/>
                <w:color w:val="FF0000"/>
                <w:kern w:val="0"/>
                <w:szCs w:val="21"/>
                <w:lang w:bidi="ar"/>
              </w:rPr>
              <w:t>11. ▲自动跟踪调谐技术；（提供第三方检测机构出具的检测报告扫描件，原件备查）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12.同时支持XLR卡龙和6.35mm大三芯平衡输出；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13.灵敏度：≤-50.4dBV/Pa(1kHz）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14.输出阻抗：≥600欧（1kHz）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2.13</w:t>
            </w:r>
          </w:p>
        </w:tc>
        <w:tc>
          <w:tcPr>
            <w:tcW w:w="1406" w:type="dxa"/>
            <w:vMerge w:val="restart"/>
            <w:vAlign w:val="center"/>
          </w:tcPr>
          <w:p>
            <w:r>
              <w:rPr>
                <w:rFonts w:hint="eastAsia"/>
              </w:rPr>
              <w:t>无线话筒</w:t>
            </w:r>
          </w:p>
        </w:tc>
        <w:tc>
          <w:tcPr>
            <w:tcW w:w="6169" w:type="dxa"/>
            <w:vAlign w:val="center"/>
          </w:tcPr>
          <w:p>
            <w:r>
              <w:rPr>
                <w:rFonts w:hint="eastAsia"/>
              </w:rPr>
              <w:t>1.含：一台双通道接收机，两只无线领夹话筒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2.双通道无线接收机参数不低于以下要求：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3.双天线，低损耗，可拆卸设计；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4.急速红外对频方式；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5.频率范围：≥470-900MHz；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6.可调信道数：≥100；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7.LED高清屏幕显示；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8.音频频响：≥80-16kHz；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9.谐波失真：&lt;0.5%；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10.信噪比：≥105dB；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11.自动跟踪调谐技术,保证系统在任何频率工作时保持最佳稳定性；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12.同时支持XLR卡龙和6.35mm大三芯平衡输出；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13.谐波失真&lt;0.5%(1kHz,25mVrms)</w:t>
            </w:r>
          </w:p>
        </w:tc>
      </w:tr>
      <w:tr>
        <w:tblPrEx>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2.14</w:t>
            </w:r>
          </w:p>
        </w:tc>
        <w:tc>
          <w:tcPr>
            <w:tcW w:w="1406" w:type="dxa"/>
            <w:vMerge w:val="restart"/>
            <w:vAlign w:val="center"/>
          </w:tcPr>
          <w:p>
            <w:r>
              <w:rPr>
                <w:rFonts w:hint="eastAsia"/>
              </w:rPr>
              <w:t>天线分配器</w:t>
            </w:r>
          </w:p>
        </w:tc>
        <w:tc>
          <w:tcPr>
            <w:tcW w:w="6169" w:type="dxa"/>
            <w:vAlign w:val="center"/>
          </w:tcPr>
          <w:p>
            <w:r>
              <w:rPr>
                <w:rFonts w:hint="eastAsia"/>
              </w:rPr>
              <w:t>1.支持不少于4路无线接收机，不少于8个BNC接口；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2.内置不少于4通道电源分配器，可直接对接收机DC供电；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3.频率范围：≥480-900MHz；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4.输入阻抗：50Ω；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5.输出阻抗：50Ω。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2.15</w:t>
            </w:r>
          </w:p>
        </w:tc>
        <w:tc>
          <w:tcPr>
            <w:tcW w:w="1406" w:type="dxa"/>
            <w:vMerge w:val="restart"/>
            <w:vAlign w:val="center"/>
          </w:tcPr>
          <w:p>
            <w:r>
              <w:rPr>
                <w:rFonts w:hint="eastAsia"/>
              </w:rPr>
              <w:t>话筒天线</w:t>
            </w:r>
          </w:p>
        </w:tc>
        <w:tc>
          <w:tcPr>
            <w:tcW w:w="6169" w:type="dxa"/>
            <w:vAlign w:val="center"/>
          </w:tcPr>
          <w:p>
            <w:r>
              <w:rPr>
                <w:rFonts w:hint="eastAsia"/>
              </w:rPr>
              <w:t>1.有效增加信号强度和信噪比；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2.隔离杂波信号；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3.频率范围：≥450 ~ 900MHz；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4.天线增益：≥4dBi；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5.指向性：单指向；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6.有效角：≥100度。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2.16</w:t>
            </w:r>
          </w:p>
        </w:tc>
        <w:tc>
          <w:tcPr>
            <w:tcW w:w="1406" w:type="dxa"/>
            <w:vMerge w:val="restart"/>
            <w:vAlign w:val="center"/>
          </w:tcPr>
          <w:p>
            <w:r>
              <w:rPr>
                <w:rFonts w:hint="eastAsia"/>
              </w:rPr>
              <w:t>放大器</w:t>
            </w:r>
          </w:p>
        </w:tc>
        <w:tc>
          <w:tcPr>
            <w:tcW w:w="6169" w:type="dxa"/>
            <w:vAlign w:val="center"/>
          </w:tcPr>
          <w:p>
            <w:r>
              <w:rPr>
                <w:rFonts w:hint="eastAsia"/>
              </w:rPr>
              <w:t>1.要求适用于470-940MHZ的天线信号放大系统。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2.具有可调的输出增益。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2.17</w:t>
            </w:r>
          </w:p>
        </w:tc>
        <w:tc>
          <w:tcPr>
            <w:tcW w:w="1406" w:type="dxa"/>
            <w:vMerge w:val="restart"/>
            <w:vAlign w:val="center"/>
          </w:tcPr>
          <w:p>
            <w:r>
              <w:rPr>
                <w:rFonts w:hint="eastAsia"/>
              </w:rPr>
              <w:t>分线盒</w:t>
            </w:r>
          </w:p>
        </w:tc>
        <w:tc>
          <w:tcPr>
            <w:tcW w:w="6169" w:type="dxa"/>
            <w:vAlign w:val="center"/>
          </w:tcPr>
          <w:p>
            <w:r>
              <w:rPr>
                <w:rFonts w:hint="eastAsia"/>
              </w:rPr>
              <w:t>1.频率范围：400MHz-1000MHz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2.衰减：-3dB，±1dB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3.隔离：&gt;-25dB</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4.阻抗：50Ω</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5.最大通过电压/电流：+50V DC/1.50A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2.18</w:t>
            </w:r>
          </w:p>
        </w:tc>
        <w:tc>
          <w:tcPr>
            <w:tcW w:w="1406" w:type="dxa"/>
            <w:vAlign w:val="center"/>
          </w:tcPr>
          <w:p>
            <w:r>
              <w:rPr>
                <w:rFonts w:hint="eastAsia"/>
              </w:rPr>
              <w:t>线材</w:t>
            </w:r>
          </w:p>
        </w:tc>
        <w:tc>
          <w:tcPr>
            <w:tcW w:w="6169" w:type="dxa"/>
            <w:vAlign w:val="center"/>
          </w:tcPr>
          <w:p>
            <w:r>
              <w:rPr>
                <w:rFonts w:hint="eastAsia"/>
              </w:rPr>
              <w:t>25米天线延长线：BNC插头*2，线径：7.2mm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2.19</w:t>
            </w:r>
          </w:p>
        </w:tc>
        <w:tc>
          <w:tcPr>
            <w:tcW w:w="1406" w:type="dxa"/>
            <w:vMerge w:val="restart"/>
            <w:vAlign w:val="center"/>
          </w:tcPr>
          <w:p>
            <w:r>
              <w:rPr>
                <w:rFonts w:hint="eastAsia"/>
              </w:rPr>
              <w:t>抑制器</w:t>
            </w:r>
          </w:p>
        </w:tc>
        <w:tc>
          <w:tcPr>
            <w:tcW w:w="6169" w:type="dxa"/>
            <w:vAlign w:val="center"/>
          </w:tcPr>
          <w:p>
            <w:r>
              <w:rPr>
                <w:rFonts w:hint="eastAsia"/>
              </w:rPr>
              <w:t>1.话筒高频可调节，输入电平最少支持高中低三档选择;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2.自适应性过滤器，提升拾音距离最大不少于25CM;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3.不少于10dB的增益；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4.采样率:32KHz;</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5.失真: &lt;0.1%@1khz;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6.信噪比:&gt;90dB;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7.信号延时:≤7ms(音乐模式),≤11ms(语音模式);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8.输入阻抗:20KΩ;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9.输出阻抗(平衡):200Ω。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vAlign w:val="center"/>
          </w:tcPr>
          <w:p>
            <w:r>
              <w:rPr>
                <w:rFonts w:hint="eastAsia"/>
              </w:rPr>
              <w:t>光纤分布式智控协作平台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3.1</w:t>
            </w:r>
          </w:p>
        </w:tc>
        <w:tc>
          <w:tcPr>
            <w:tcW w:w="1406" w:type="dxa"/>
            <w:vMerge w:val="restart"/>
            <w:vAlign w:val="center"/>
          </w:tcPr>
          <w:p>
            <w:r>
              <w:rPr>
                <w:rFonts w:hint="eastAsia"/>
              </w:rPr>
              <w:t>分布式综合控制管理软件</w:t>
            </w:r>
          </w:p>
        </w:tc>
        <w:tc>
          <w:tcPr>
            <w:tcW w:w="6169" w:type="dxa"/>
            <w:vAlign w:val="center"/>
          </w:tcPr>
          <w:p>
            <w:r>
              <w:rPr>
                <w:rFonts w:hint="eastAsia"/>
              </w:rPr>
              <w:t>1.单机支持≥500路高清多媒体信号管理能力，平台支持≥10台MCU级联使用；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节点端口备份、传输链路备份、多个输出节点热备份和服务器多机备份；服务平台支持≥6机热备，切换时间&lt;1秒，切换过程中不影响原有音视频控制业务，服务平台之间自动备份用户拓扑信息、系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3.支持≥50种角色创建功能，权限和功能模块可根据不同的角色分配，可被管理≥10种功能模块、≥8种权限模块；支持多用户创建管理，支持不同用户绑定不同的角色，支持统一的页面查看所有信息和状态；</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4.支持有中心服务时支持系统配置信息一键保存和加载应用，可将一台服务器的配置信息导出到另外一台服务器；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5.▲平台支持四级多套分布式系统级联组网应用，实现音视频及控制融合，组建音/视/控汇聚资源池，媒体源列表支持显示本级和全局的所有资源，实现四级多套分布式系统之间音视频与控制的互联互通，统一可视化管控。任意某级的分布式系统故障均不影响全局系统使用。无需单独的运维系统即可监看四级系统网络TOPO图以及链接状态；为保证系统安全，级联单元接入支持鉴权功能；为保证系统稳定性，级联单元支持热备份；（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同屏功能，可同屏镜像多个不同类型的显示设备显示内容，显示设备类型、大小、分辨率、开窗布局等不需关注，支持多屏联动功能，在同屏镜像过程中，对主显示屏进行图像切换、开窗布局调整，被同屏显示屏自动跟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具备预先操作功能，预操作信号源支持节点图像、对接的监控平台图像及对接的视频会议MCU会场图像，预操作显示支持投影、电视、LED大屏、LCD大屏等类型，大屏显示画面和开窗布局支持调整过程中无实时输出显示，调整后支持一键将调整好的开窗布局和图像上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8.平台支持不少于60路画面合成推送功能，适应低带宽场景下传输多路画面；客户端同时预览不少于120个画面，并可以在浏览器直接预览画面；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9.平台支持一条网线实现音频与视频的同传和管理，不再需要单独的模拟线路将音频信号通过模拟接口接入音频处理器；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10.支持可视化管理界面；支持自定义用户界面交互方式，支持可视化音频路由调度、音频预案保存和调用，音频通道增益、静音控制和电平显示，系统静音控制，矩阵混音控制；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11.支持多用户分级分权，多用户同时在线管理操作；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12. ▲支持网络对接H.323/SIP协议的视频会议MCU，可获取视频会议MCU的活动视频源列表及码流，可在系统可视化管理界面上同时预览不同视频会议会场画面≥30个，并支持与系统可视化管理界面同一界面统一管理调度，支持一键调度≥240路视频会议会场画面上大屏显示;支持视频会议终端媒体流获取并直接上屏；具备在系统可视化管理界面上呈现会议模板、会议列表、终端列表等会管功能，支持静音、点名、快速组会、结束会议、呼叫、断开等会管功能；（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3.2</w:t>
            </w:r>
          </w:p>
        </w:tc>
        <w:tc>
          <w:tcPr>
            <w:tcW w:w="1406" w:type="dxa"/>
            <w:vMerge w:val="restart"/>
            <w:vAlign w:val="center"/>
          </w:tcPr>
          <w:p>
            <w:r>
              <w:rPr>
                <w:rFonts w:hint="eastAsia"/>
              </w:rPr>
              <w:t>移动端可视化控制系统</w:t>
            </w:r>
          </w:p>
        </w:tc>
        <w:tc>
          <w:tcPr>
            <w:tcW w:w="6169" w:type="dxa"/>
            <w:vAlign w:val="center"/>
          </w:tcPr>
          <w:p>
            <w:r>
              <w:rPr>
                <w:rFonts w:hint="eastAsia"/>
              </w:rPr>
              <w:t>1.支持集中管理和控制整个系统设备，支持独立控制各个区域的设备;支持对所有视频源进行预览以及大屏图像回显，可在用户端软件观看大屏实时画面，并进行可视化拖拽操作；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2.支持B/S架构运维管理、提供C/S架构用户使用界面，提供多种类的Web管理工具，支持Web界面批量处理节点关机、重启、唤醒以及查看网口配置信息等;支持Web界面在线监测设备状态;</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3.支持WINDOWS或MAC电脑提供无线/有线网络上屏服务,无需任何硬件设备，实现音视频同步编码和传输；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软件远程KVM和硬件远程KVM，通过IP网络远程控制PC或者服务器，支持通过系统平台可视化UI界面(如无线PAD)远程控制电脑，在平台可视化UI界面回显窗口内即可打开PC端应用程序，控制其内容(修改编辑、复制粘贴、上下翻页、播放暂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5.具备可视化管理界面，支持音频动态电平、静音状态实时反馈、视频信号实时预览及回显，UI界面可根据用户需求定制，提供多套UI模版备选:</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6.支持指定一个或多个显示区域任意信号进行视频轮巡,轮巡过程中支持双击放大画面；</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7.支持在可视化调度界面一键截屏，把当前上屏的所有画面进行多路全高清截屏(而不只是回显的全屏截屏)，自动保存到平台可视化UI界面所在的存储设备，便于事后统一分析和回溯；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8.支持软件点名功能，当软件选中定位节点时，节点所有指示灯闪烁，协助用户和调试人员定位设备位置；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9.支持音频跟随视频同步传输与切换功能，拖放视频的同时音频同步播放;支持一台终端多权限管理，支持一个权限多终端同时管控；</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10.平台可视化UI界面操作支持设置加密功能，重要的操作需要通过密码认证才能够被允许操作；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11.在平台可视化UI界面视频信号预览列表中，双击列表中的信号源能够全屏显示高清画面；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12.支持放大镜功能，能够把屏幕上显示的画面，局部放大显示；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13.平台可视化UI界面能够对接视频会议实现会控管理，如召开会议、邀请终端入会、主会场设置、闭音、重连接、结束会议常用功能；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14.平台可视化UI界面在退出后，再登陆系统时，可以自动恢复到退出前的状态，设备断电重启后能够恢复断电前的数据，不会因为卸载平台可视化UI界面软件而丢失；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15.支持施工平台更新UI和逻辑后后，操作界面可以自动同步最新的交互界面和逻辑关系；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16.</w:t>
            </w:r>
            <w:r>
              <w:rPr>
                <w:rFonts w:hint="eastAsia"/>
              </w:rPr>
              <w:t>提供软件著作权证书扫描件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3.3</w:t>
            </w:r>
          </w:p>
        </w:tc>
        <w:tc>
          <w:tcPr>
            <w:tcW w:w="1406" w:type="dxa"/>
            <w:vMerge w:val="restart"/>
            <w:vAlign w:val="center"/>
          </w:tcPr>
          <w:p>
            <w:r>
              <w:rPr>
                <w:rFonts w:hint="eastAsia"/>
              </w:rPr>
              <w:t>双路4K输入节点</w:t>
            </w:r>
          </w:p>
        </w:tc>
        <w:tc>
          <w:tcPr>
            <w:tcW w:w="6169" w:type="dxa"/>
            <w:vAlign w:val="center"/>
          </w:tcPr>
          <w:p>
            <w:r>
              <w:rPr>
                <w:rFonts w:hint="eastAsia" w:ascii="宋体" w:hAnsi="宋体" w:cs="宋体"/>
                <w:b/>
                <w:bCs/>
                <w:color w:val="FF0000"/>
                <w:kern w:val="0"/>
                <w:szCs w:val="21"/>
                <w:lang w:bidi="ar"/>
              </w:rPr>
              <w:t>1.▲设备网络、处理芯片、音频、视频采集等核心元器件均采用国产化；单节点采用编解码一体化设计，支持连接物理端口自动识别为编码模式或解码模式，无需硬件拨码或软件调试；（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2.前面板带显示屏,用于显示设备IP地址、设备型号等信息；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3.节点采用无风扇静音设计，采用国产化芯片，自主可控；分辨率不低3840x2160@60Hz（向下兼容）；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4.▲单节点支持同时开设不少于64个活动窗口；不低于8K@60Hz分辨率图像解码和输出；（提供第三方检测机构出具的检测报告扫描件，原件备查）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5.作为KVM解码节点时，支持解码的同时接入本地电脑信号，实现一套键鼠同时管理本地电脑和远端电脑，基于安全考虑，本地电脑可设置为仅本地使用和控制；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6.通过座席节点，可以实现USB数据远程传输，如U盘或者USB硬盘的数据拷贝，远程U盾认证接入应用；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节点不少于1个耳麦（3.5mm）输入输出接口，支持音频反向输入，不少于1路MIC输入接口（支持48V幻象供电），支持HDMI双声道数字音频输入输出加解嵌、具备LINEINL+R左右双声道声音输入、具备LINEOUTL+R左右双声道声音输出，此四类接口同时具备声学回声消除功能(AEC)、背景噪声抑制功能(ANS)、自动增益控制功能(A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8.视频接口：不少于2路HDMI输入，不少于2路HDMI输出；</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9.控制接口:≥1路RELAY、≥1路I/O、≥1路IR红外控制、≥1路RS-232、≥1路RS-485、≥2路USB、≥1路Type-c接口（支持视频输出）；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10.支持RJ45网口和SFP光口网络备份，支持链路聚合,支持接入同交换机或不同交换机的光口和电口，支持使用优先级配置，光电口通讯倒换用户无感知，倒换时间无延时；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11.座席管理OSD菜单支持对其他座席进行批量预操作，可通过当前席位OSD对多个席位的显示布局及内容、控制权限进行预操作，调整好的布局和控制权限可一键批量推送，调整过程中不影响各个席位正常使用；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12.支持一席多屏时整屏和子屏的切换和控制，通过一个屏幕对当前席位多屏的布局、场景、信号源填充以及推屏进行操控；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 xml:space="preserve">13.▲节点不少于16方音视频会议功能，支持视频会议中加入会议话筒组成混合会议，支持多画面、混合语音、混合媒体流的编解码及分发功能，支持对参会席位进行静音、闭麦、开关画面、调节音量大小；（提供第三方检测机构出具的检测报告扫描件，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14.UI界面支持窗口锁定/解锁功能，支持对编码视频源进行局部放大至全屏显示功能；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15.支持大屏拼接功能：支持LCD液晶屏/LED屏/DLP屏等类型屏拼接显示，高精度同步校准，分布式节点同步误差≤0.01ms；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16.支持开窗画面90°、180°、270°旋转；</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17.支持音视频同步拖放控制，视频源回显画面上可独立控制音频开关；支持音频与视频独立传输与控制；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18.支持节点音频（HDMI所含音频及音频接口音频）码流与音频系统码流直接网络通讯，不需要外接音频线；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3.4</w:t>
            </w:r>
          </w:p>
        </w:tc>
        <w:tc>
          <w:tcPr>
            <w:tcW w:w="1406" w:type="dxa"/>
            <w:vMerge w:val="restart"/>
            <w:vAlign w:val="center"/>
          </w:tcPr>
          <w:p>
            <w:r>
              <w:rPr>
                <w:rFonts w:hint="eastAsia"/>
              </w:rPr>
              <w:t>双路4K输出节点</w:t>
            </w:r>
          </w:p>
        </w:tc>
        <w:tc>
          <w:tcPr>
            <w:tcW w:w="6169" w:type="dxa"/>
            <w:vAlign w:val="center"/>
          </w:tcPr>
          <w:p>
            <w:pPr>
              <w:rPr>
                <w:color w:val="000000"/>
              </w:rPr>
            </w:pPr>
            <w:r>
              <w:t>1.</w:t>
            </w:r>
            <w:r>
              <w:rPr>
                <w:rFonts w:hint="eastAsia"/>
              </w:rPr>
              <w:t>设备网络、处理芯片、音频、视频采集等核心元器件均采用国产化；单节点采用编解码一体化设计，支持连接物理端口自动识别为编码模式或解码模式，无需硬件拨码或软件调试；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2.前面板带显示屏,用于显示设备IP地址、设备型号等信息；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3.节点采用无风扇静音设计，采用国产化芯片，自主可控；分辨率不低3840x2160@60Hz（向下兼容）；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4.单节点支持同时开设不少于64个活动窗口；不低于8K@60Hz分辨率图像解码和输出；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5.作为KVM解码节点时，支持解码的同时接入本地电脑信号，实现一套键鼠同时管理本地电脑和远端电脑，基于安全考虑，本地电脑可设置为仅本地使用和控制；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6.通过座席节点，可以实现USB数据远程传输，如U盘或者USB硬盘的数据拷贝，远程U盾认证接入应用；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节点不少于1个耳麦（3.5mm）输入输出接口，支持音频反向输入，不少于1路MIC输入接口（支持48V幻象供电），支持HDMI双声道数字音频输入输出加解嵌、具备LINEINL+R左右双声道声音输入、具备LINEOUTL+R左右双声道声音输出，此四类接口同时具备声学回声消除功能(AEC)、背景噪声抑制功能(ANS)、自动增益控制功能(AGC)；</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8.视频接口：不少于2路HDMI输入，不少于2路HDMI输出；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9.控制接口:≥1路RELAY、≥1路I/O、≥1路IR红外控制、≥1路RS-232、≥1路RS-485、≥2路USB、≥1路Type-c接口（支持视频输出）；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10.支持RJ45网口和SFP光口网络备份，支持链路聚合,支持接入同交换机或不同交换机的光口和电口，支持使用优先级配置，光电口通讯倒换用户无感知，倒换时间无延时；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11.座席管理OSD菜单支持对其他座席进行批量预操作，可通过当前席位OSD对多个席位的显示布局及内容、控制权限进行预操作，调整好的布局和控制权限可一键批量推送，调整过程中不影响各个席位正常使用；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12.支持一席多屏时整屏和子屏的切换和控制，通过一个屏幕对当前席位多屏的布局、场景、信号源填充以及推屏进行操控；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13.节点不少于16方音视频会议功能，支持视频会议中加入会议话筒组成混合会议，支持多画面、混合语音、混合媒体流的编解码及分发功能，支持对参会席位进行静音、闭麦、开关画面、调节音量大小；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14.UI界面支持窗口锁定/解锁功能，支持对编码视频源进行局部放大至全屏显示功能；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15.支持大屏拼接功能：支持LCD液晶屏/LED屏/DLP屏等类型屏拼接显示，高精度同步校准，分布式节点同步误差≤0.01ms；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16.支持开窗画面90°、180°、270°旋转；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17.支持音视频同步拖放控制，视频源回显画面上可独立控制音频开关；支持音频与视频独立传输与控制；</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18.支持节点音频（HDMI所含音频及音频接口音频）码流与音频系统码流直接网络通讯，不需要外接音频线；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3.5</w:t>
            </w:r>
          </w:p>
        </w:tc>
        <w:tc>
          <w:tcPr>
            <w:tcW w:w="1406" w:type="dxa"/>
            <w:vMerge w:val="restart"/>
            <w:vAlign w:val="center"/>
          </w:tcPr>
          <w:p>
            <w:r>
              <w:rPr>
                <w:rFonts w:hint="eastAsia"/>
              </w:rPr>
              <w:t>光纤拼控卡</w:t>
            </w:r>
          </w:p>
        </w:tc>
        <w:tc>
          <w:tcPr>
            <w:tcW w:w="6169" w:type="dxa"/>
            <w:vAlign w:val="center"/>
          </w:tcPr>
          <w:p>
            <w:r>
              <w:rPr>
                <w:rFonts w:hint="eastAsia"/>
              </w:rPr>
              <w:t>1.单节点采用编解码一体化设计，支持手动切换成编码或解码节点；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 支持无中心和有中心两种部署方式，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 节点采用无风扇静音设计，采用国产化芯片，自主可控；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 输入分辨率不低于3840*2160@30（向下兼容），输出分辨率不低于3840*2160@60（向下兼容）；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 视频接口:≥2路HDMI，支持视频环出；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 音频接口:≥1路耳麦接口，≥2路平衡LINE音频输入，≥2路平衡LINE音频输出；</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 控制接口:≥2路RS-232，≥1路RS-485，≥4路I/O，≥4路IR红外控制，≥2路USB，≥1路Type-c接口；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 具备RJ45网口和SFP光口网络备份功能；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3.6</w:t>
            </w:r>
          </w:p>
        </w:tc>
        <w:tc>
          <w:tcPr>
            <w:tcW w:w="1406" w:type="dxa"/>
            <w:vMerge w:val="restart"/>
            <w:vAlign w:val="center"/>
          </w:tcPr>
          <w:p>
            <w:r>
              <w:rPr>
                <w:rFonts w:hint="eastAsia"/>
              </w:rPr>
              <w:t>HDMI拼接输出卡</w:t>
            </w:r>
          </w:p>
        </w:tc>
        <w:tc>
          <w:tcPr>
            <w:tcW w:w="6169" w:type="dxa"/>
            <w:noWrap/>
            <w:vAlign w:val="center"/>
          </w:tcPr>
          <w:p>
            <w:r>
              <w:rPr>
                <w:rFonts w:hint="eastAsia"/>
              </w:rPr>
              <w:t>1.单节点采用编解码一体化设计，支持手动切换成编码或解码节点；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 支持无中心和有中心两种部署方式，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 节点采用无风扇静音设计，采用国产化芯片，自主可控；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4. 输入分辨率不低于3840*2160@30（向下兼容），输出分辨率不低于3840*2160@60（向下兼容）；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 视频接口:≥2路HDMI，支持视频环出；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6. 音频接口:≥1路耳麦接口，≥2路平衡LINE音频输入，≥2路平衡LINE音频输出；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7. 控制接口:≥2路RS-232，≥1路RS-485，≥4路I/O，≥4路IR红外控制，≥2路USB，≥1路Type-c接口；</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8. 具备RJ45网口和SFP光口网络备份功能；</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3.7</w:t>
            </w:r>
          </w:p>
        </w:tc>
        <w:tc>
          <w:tcPr>
            <w:tcW w:w="1406" w:type="dxa"/>
            <w:vMerge w:val="restart"/>
            <w:vAlign w:val="center"/>
          </w:tcPr>
          <w:p>
            <w:r>
              <w:rPr>
                <w:rFonts w:hint="eastAsia"/>
              </w:rPr>
              <w:t>可视化运维节点</w:t>
            </w:r>
          </w:p>
        </w:tc>
        <w:tc>
          <w:tcPr>
            <w:tcW w:w="6169" w:type="dxa"/>
            <w:noWrap/>
            <w:vAlign w:val="center"/>
          </w:tcPr>
          <w:p>
            <w:r>
              <w:rPr>
                <w:rFonts w:hint="eastAsia" w:ascii="宋体" w:hAnsi="宋体" w:cs="宋体"/>
                <w:b/>
                <w:bCs/>
                <w:color w:val="FF0000"/>
                <w:kern w:val="0"/>
                <w:szCs w:val="21"/>
                <w:lang w:bidi="ar"/>
              </w:rPr>
              <w:t>1、▲采用一体化设计，同时内置智能中控、视频切换矩阵、数字音频处理器、POE千兆网络交换机、数字功放、多路全高清编解码器、SIP双流呼叫、本地录播、远程管理等模块。（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2、视频输入：不少于4路高清视频输入接口；本地IP网络摄像机接入支持最大不少于12路，同时网络转发支持最大不少于4路；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3、不少于2路HDMI输出接口；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4、不少于8路凤凰端子输入，同时支持48V幻像供电MIC输入和line in线性输入，不少于4路HDMI内嵌音频输入等；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color w:val="000000"/>
              </w:rPr>
            </w:pPr>
            <w:r>
              <w:rPr>
                <w:rFonts w:ascii="Times New Roman" w:hAnsi="Times New Roman" w:cs="Times New Roman"/>
                <w:color w:val="auto"/>
                <w:kern w:val="2"/>
                <w:szCs w:val="24"/>
              </w:rPr>
              <w:t>5、不少于2对L/R凤凰端子立体声输出、不低于2路100W@8欧姆的数字功放输出；</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6、不少于4路RS-232/RS-485、2路RELAY、2路I/O、2路红外IR；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7、不少于6路网口，可划分VLAN，其中4路支持POE供电；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8、不少于2路USB Type-A型，支持录制内容自动拷贝，系统升级；1路USB Type-B型口；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9、支持录制文件内容管理（下载/导出/编辑/删除），标配</w:t>
            </w:r>
            <w:r>
              <w:rPr>
                <w:rStyle w:val="491"/>
                <w:rFonts w:hint="default" w:cs="Arial"/>
                <w:lang w:val="en"/>
              </w:rPr>
              <w:t>≥</w:t>
            </w:r>
            <w:r>
              <w:rPr>
                <w:rFonts w:hint="eastAsia"/>
              </w:rPr>
              <w:t>2TB监控级硬盘，最大可选配到12TB移动硬盘；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10、电源双开关保证系统安全，前面板强电软开关，后面板强电硬开关；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11、可安装于标准19英寸机架，机身高度不大于1U；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ascii="宋体" w:hAnsi="宋体" w:cs="宋体"/>
                <w:b/>
                <w:bCs/>
                <w:color w:val="FF0000"/>
                <w:kern w:val="0"/>
                <w:szCs w:val="21"/>
                <w:lang w:bidi="ar"/>
              </w:rPr>
              <w:t>12、▲同时支持RS-232、RS-485、RELAY、I/O、红外、USB、功放、MIC输入（支持幻象供电）、立体声、HDMI（兼容DVI信号）、IP网络编解码输入输出等丰富的接口类型。（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13、集成超强性能的DSP和视音频矩阵，单台设备可以“同时”实现多种场景应用:本地多媒体中控应用、远程互动、远程直播录播、远程巡视等应用；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14、支持HDMI信号与网络RTSP流信号接入，对每路视频（HDMI IN）独立编解码，支持4K30视频编解码，最大4路1080P60编码，同时最大4路1080P@60解码，或者8路1080P@30编码和8路1080P@30解码；支持H.265、H.264 HP Level 4.2，向下兼容H.264 BP和MP；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15、综合使用超强纠错(SEC)、丢包重传(ARQ)、视频FEC（前向纠错）3种抗丢包处理技术，在网络丢包率达20%环境下仍可保障视频流畅；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16、采用智能调速（IRC）技术，在带宽受限导致丢包的情况下，预测并动态调整视频呼叫时的码流带宽；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17、视频互动具备最大可达600ms的抗网络抖动能力，保证网络存在抖动时基本不影响互动呼叫的顺利进行，主副码流最大可调节到8Mbps，流控最大20倍，可调整I帧请求间隔时间，解码容忍错误阀值最大100；</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18、内置视频矩阵、多画面拼接和录播，支持各种视频切换、分配、合成拼接、分割、字幕叠加、图像参数调节，内置本地录播及存储功能，支持网络直播、点播和推送功能；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19、内置视频分割功能，可实现对视频输入信号进行分屏(单分屏、双分屏、三分屏、九分屏、十六分屏等)、画面合成(单画面、画中画、画外画合成)、字幕叠加；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20、支持对输入视频分辨率适配、切换、分配、画面分割、字幕叠加、图像参数调节；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ascii="宋体" w:hAnsi="宋体" w:cs="宋体"/>
                <w:b/>
                <w:bCs/>
                <w:color w:val="FF0000"/>
                <w:kern w:val="0"/>
                <w:szCs w:val="21"/>
                <w:lang w:bidi="ar"/>
              </w:rPr>
              <w:t>21、▲可作为分布式系统的输入输出接口机使用，支持接入分布式系统满足各种客户端可视化控制及分布式上屏显示；支持与多媒体分布式控制系统配套，支持通过可视化图像预览进行设备控制，支持作为分布式节点终端，并实现设备之间的互联互通；（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22、音频处理模块支持自动回声消除（AEC）、自动增益控制（AGC）、自动噪声消除/抑制（ANC/ANS）、自动反馈消除（AFC）、混音矩阵（AM）、丢包补偿（PLC）；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23、 单机支持最大6方会议能力，支持创建多个会议模板，支持预约会议，按照预约时间自动召集入会;可以在会议过程中新增邀请终端入会，也可以将某个终端从会议中踢出;支持对任意会场进行静音/开音，或一键全部闭音/开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restart"/>
            <w:shd w:val="clear" w:color="000000" w:fill="FFFFFF"/>
            <w:noWrap/>
            <w:vAlign w:val="center"/>
          </w:tcPr>
          <w:p>
            <w:r>
              <w:rPr>
                <w:rFonts w:hint="eastAsia"/>
              </w:rPr>
              <w:t>3.8</w:t>
            </w:r>
          </w:p>
        </w:tc>
        <w:tc>
          <w:tcPr>
            <w:tcW w:w="1406" w:type="dxa"/>
            <w:vMerge w:val="restart"/>
            <w:shd w:val="clear" w:color="000000" w:fill="FFFFFF"/>
            <w:vAlign w:val="center"/>
          </w:tcPr>
          <w:p>
            <w:r>
              <w:rPr>
                <w:rFonts w:hint="eastAsia"/>
              </w:rPr>
              <w:t>主链路接入交换机</w:t>
            </w:r>
          </w:p>
        </w:tc>
        <w:tc>
          <w:tcPr>
            <w:tcW w:w="6169" w:type="dxa"/>
            <w:shd w:val="clear" w:color="000000" w:fill="FFFFFF"/>
            <w:vAlign w:val="center"/>
          </w:tcPr>
          <w:p>
            <w:pPr>
              <w:rPr>
                <w:rFonts w:cs="宋体"/>
                <w:color w:val="000000"/>
                <w:kern w:val="0"/>
                <w:szCs w:val="21"/>
              </w:rPr>
            </w:pPr>
            <w:r>
              <w:t>1.</w:t>
            </w:r>
            <w:r>
              <w:rPr>
                <w:rFonts w:hint="eastAsia"/>
              </w:rPr>
              <w:t>交换容量≥</w:t>
            </w:r>
            <w:r>
              <w:t>4.8Tbps</w:t>
            </w:r>
            <w:r>
              <w:rPr>
                <w:rFonts w:hint="eastAsia"/>
              </w:rPr>
              <w:t>，包转发率≥</w:t>
            </w:r>
            <w:r>
              <w:t>2000Mpps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2.</w:t>
            </w:r>
            <w:r>
              <w:rPr>
                <w:rFonts w:hint="eastAsia"/>
              </w:rPr>
              <w:t>网络端口：</w:t>
            </w:r>
            <w:r>
              <w:t>48</w:t>
            </w:r>
            <w:r>
              <w:rPr>
                <w:rFonts w:hint="eastAsia"/>
              </w:rPr>
              <w:t>×</w:t>
            </w:r>
            <w:r>
              <w:t>10GE SFP+</w:t>
            </w:r>
            <w:r>
              <w:rPr>
                <w:rFonts w:hint="eastAsia"/>
              </w:rPr>
              <w:t>端口，</w:t>
            </w:r>
            <w:r>
              <w:t>6</w:t>
            </w:r>
            <w:r>
              <w:rPr>
                <w:rFonts w:hint="eastAsia"/>
              </w:rPr>
              <w:t>×</w:t>
            </w:r>
            <w:r>
              <w:t>40GE/100GE QSFP28</w:t>
            </w:r>
            <w:r>
              <w:rPr>
                <w:rFonts w:hint="eastAsia"/>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3.</w:t>
            </w:r>
            <w:r>
              <w:rPr>
                <w:rFonts w:hint="eastAsia"/>
              </w:rPr>
              <w:t>配置电源≥</w:t>
            </w:r>
            <w:r>
              <w:t>2</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4.</w:t>
            </w:r>
            <w:r>
              <w:rPr>
                <w:rFonts w:hint="eastAsia"/>
              </w:rPr>
              <w:t>支持静态路由、</w:t>
            </w:r>
            <w:r>
              <w:t>RIPv1/v2</w:t>
            </w:r>
            <w:r>
              <w:rPr>
                <w:rFonts w:hint="eastAsia"/>
              </w:rPr>
              <w:t>、</w:t>
            </w:r>
            <w:r>
              <w:t>OSPFv2</w:t>
            </w:r>
            <w:r>
              <w:rPr>
                <w:rFonts w:hint="eastAsia"/>
              </w:rPr>
              <w:t>、</w:t>
            </w:r>
            <w:r>
              <w:t>ISIS</w:t>
            </w:r>
            <w:r>
              <w:rPr>
                <w:rFonts w:hint="eastAsia"/>
              </w:rPr>
              <w:t>、</w:t>
            </w:r>
            <w:r>
              <w:t>BGP4</w:t>
            </w:r>
            <w:r>
              <w:rPr>
                <w:rFonts w:hint="eastAsia"/>
              </w:rPr>
              <w:t>、</w:t>
            </w:r>
            <w:r>
              <w:t>IPv4 uRPF</w:t>
            </w:r>
            <w:r>
              <w:rPr>
                <w:rFonts w:hint="eastAsia"/>
              </w:rPr>
              <w:t>、</w:t>
            </w:r>
            <w:r>
              <w:t>For IPv6</w:t>
            </w:r>
            <w:r>
              <w:rPr>
                <w:rFonts w:hint="eastAsia"/>
              </w:rPr>
              <w:t>、</w:t>
            </w:r>
            <w:r>
              <w:t>RIPng</w:t>
            </w:r>
            <w:r>
              <w:rPr>
                <w:rFonts w:hint="eastAsia"/>
              </w:rPr>
              <w:t>、</w:t>
            </w:r>
            <w:r>
              <w:t>OSPFv3</w:t>
            </w:r>
            <w:r>
              <w:rPr>
                <w:rFonts w:hint="eastAsia"/>
              </w:rPr>
              <w:t>、</w:t>
            </w:r>
            <w:r>
              <w:t>ISISv6</w:t>
            </w:r>
            <w:r>
              <w:rPr>
                <w:rFonts w:hint="eastAsia"/>
              </w:rPr>
              <w:t>、</w:t>
            </w:r>
            <w:r>
              <w:t>BGP4+ For IPv6</w:t>
            </w:r>
            <w:r>
              <w:rPr>
                <w:rFonts w:hint="eastAsia"/>
              </w:rPr>
              <w:t>、</w:t>
            </w:r>
            <w:r>
              <w:t>IPv6 uRPF</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 xml:space="preserve">5. </w:t>
            </w:r>
            <w:r>
              <w:rPr>
                <w:rFonts w:hint="eastAsia"/>
              </w:rPr>
              <w:t>交换芯片、</w:t>
            </w:r>
            <w:r>
              <w:t>CPU</w:t>
            </w:r>
            <w:r>
              <w:rPr>
                <w:rFonts w:hint="eastAsia"/>
              </w:rPr>
              <w:t>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947" w:type="dxa"/>
            <w:shd w:val="clear" w:color="000000" w:fill="FFFFFF"/>
            <w:noWrap/>
            <w:vAlign w:val="center"/>
          </w:tcPr>
          <w:p>
            <w:r>
              <w:rPr>
                <w:rFonts w:hint="eastAsia"/>
              </w:rPr>
              <w:t xml:space="preserve">3.9 </w:t>
            </w:r>
          </w:p>
        </w:tc>
        <w:tc>
          <w:tcPr>
            <w:tcW w:w="1406" w:type="dxa"/>
            <w:shd w:val="clear" w:color="000000" w:fill="FFFFFF"/>
            <w:vAlign w:val="center"/>
          </w:tcPr>
          <w:p>
            <w:r>
              <w:rPr>
                <w:rFonts w:hint="eastAsia"/>
              </w:rPr>
              <w:t>主链路万兆光模块</w:t>
            </w:r>
          </w:p>
        </w:tc>
        <w:tc>
          <w:tcPr>
            <w:tcW w:w="6169" w:type="dxa"/>
            <w:shd w:val="clear" w:color="000000" w:fill="FFFFFF"/>
            <w:vAlign w:val="center"/>
          </w:tcPr>
          <w:p>
            <w:pPr>
              <w:rPr>
                <w:rFonts w:cs="宋体"/>
                <w:color w:val="000000"/>
                <w:kern w:val="0"/>
                <w:szCs w:val="21"/>
              </w:rPr>
            </w:pPr>
            <w:r>
              <w:t>1. 10Gbps SFP+</w:t>
            </w:r>
            <w:r>
              <w:rPr>
                <w:rFonts w:hint="eastAsia"/>
              </w:rPr>
              <w:t>（多模</w:t>
            </w:r>
            <w:r>
              <w:t>300m/850nm</w:t>
            </w:r>
            <w:r>
              <w:rPr>
                <w:rFonts w:hint="eastAsia"/>
              </w:rPr>
              <w:t>，</w:t>
            </w:r>
            <w:r>
              <w:t>LC</w:t>
            </w:r>
            <w:r>
              <w:rPr>
                <w:rFonts w:hint="eastAsia"/>
              </w:rPr>
              <w:t>接口）光模块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restart"/>
            <w:shd w:val="clear" w:color="000000" w:fill="FFFFFF"/>
            <w:noWrap/>
            <w:vAlign w:val="center"/>
          </w:tcPr>
          <w:p>
            <w:r>
              <w:rPr>
                <w:rFonts w:hint="eastAsia"/>
              </w:rPr>
              <w:t>3.10</w:t>
            </w:r>
          </w:p>
        </w:tc>
        <w:tc>
          <w:tcPr>
            <w:tcW w:w="1406" w:type="dxa"/>
            <w:vMerge w:val="restart"/>
            <w:shd w:val="clear" w:color="000000" w:fill="FFFFFF"/>
            <w:vAlign w:val="center"/>
          </w:tcPr>
          <w:p>
            <w:r>
              <w:rPr>
                <w:rFonts w:hint="eastAsia"/>
              </w:rPr>
              <w:t>冗余备链路接入交换机</w:t>
            </w:r>
          </w:p>
        </w:tc>
        <w:tc>
          <w:tcPr>
            <w:tcW w:w="6169" w:type="dxa"/>
            <w:shd w:val="clear" w:color="000000" w:fill="FFFFFF"/>
            <w:vAlign w:val="center"/>
          </w:tcPr>
          <w:p>
            <w:pPr>
              <w:rPr>
                <w:rFonts w:cs="宋体"/>
                <w:color w:val="000000"/>
                <w:kern w:val="0"/>
                <w:szCs w:val="21"/>
              </w:rPr>
            </w:pPr>
            <w:r>
              <w:t>1.</w:t>
            </w:r>
            <w:r>
              <w:rPr>
                <w:rFonts w:hint="eastAsia"/>
              </w:rPr>
              <w:t>交换容量≥</w:t>
            </w:r>
            <w:r>
              <w:t>4.8Tbps</w:t>
            </w:r>
            <w:r>
              <w:rPr>
                <w:rFonts w:hint="eastAsia"/>
              </w:rPr>
              <w:t>，包转发率≥</w:t>
            </w:r>
            <w:r>
              <w:t>2000Mpps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2.</w:t>
            </w:r>
            <w:r>
              <w:rPr>
                <w:rFonts w:hint="eastAsia"/>
              </w:rPr>
              <w:t>网络端口：</w:t>
            </w:r>
            <w:r>
              <w:t>48</w:t>
            </w:r>
            <w:r>
              <w:rPr>
                <w:rFonts w:hint="eastAsia"/>
              </w:rPr>
              <w:t>×</w:t>
            </w:r>
            <w:r>
              <w:t>10GE SFP+</w:t>
            </w:r>
            <w:r>
              <w:rPr>
                <w:rFonts w:hint="eastAsia"/>
              </w:rPr>
              <w:t>端口，</w:t>
            </w:r>
            <w:r>
              <w:t>6</w:t>
            </w:r>
            <w:r>
              <w:rPr>
                <w:rFonts w:hint="eastAsia"/>
              </w:rPr>
              <w:t>×</w:t>
            </w:r>
            <w:r>
              <w:t>40GE/100GE QSFP28</w:t>
            </w:r>
            <w:r>
              <w:rPr>
                <w:rFonts w:hint="eastAsia"/>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3.</w:t>
            </w:r>
            <w:r>
              <w:rPr>
                <w:rFonts w:hint="eastAsia"/>
              </w:rPr>
              <w:t>配置电源≥</w:t>
            </w:r>
            <w:r>
              <w:t>2</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4.</w:t>
            </w:r>
            <w:r>
              <w:rPr>
                <w:rFonts w:hint="eastAsia"/>
              </w:rPr>
              <w:t>支持静态路由、</w:t>
            </w:r>
            <w:r>
              <w:t>RIPv1/v2</w:t>
            </w:r>
            <w:r>
              <w:rPr>
                <w:rFonts w:hint="eastAsia"/>
              </w:rPr>
              <w:t>、</w:t>
            </w:r>
            <w:r>
              <w:t>OSPFv2</w:t>
            </w:r>
            <w:r>
              <w:rPr>
                <w:rFonts w:hint="eastAsia"/>
              </w:rPr>
              <w:t>、</w:t>
            </w:r>
            <w:r>
              <w:t>ISIS</w:t>
            </w:r>
            <w:r>
              <w:rPr>
                <w:rFonts w:hint="eastAsia"/>
              </w:rPr>
              <w:t>、</w:t>
            </w:r>
            <w:r>
              <w:t>BGP4</w:t>
            </w:r>
            <w:r>
              <w:rPr>
                <w:rFonts w:hint="eastAsia"/>
              </w:rPr>
              <w:t>、</w:t>
            </w:r>
            <w:r>
              <w:t>IPv4 uRPF</w:t>
            </w:r>
            <w:r>
              <w:rPr>
                <w:rFonts w:hint="eastAsia"/>
              </w:rPr>
              <w:t>、</w:t>
            </w:r>
            <w:r>
              <w:t>For IPv6</w:t>
            </w:r>
            <w:r>
              <w:rPr>
                <w:rFonts w:hint="eastAsia"/>
              </w:rPr>
              <w:t>、</w:t>
            </w:r>
            <w:r>
              <w:t>RIPng</w:t>
            </w:r>
            <w:r>
              <w:rPr>
                <w:rFonts w:hint="eastAsia"/>
              </w:rPr>
              <w:t>、</w:t>
            </w:r>
            <w:r>
              <w:t>OSPFv3</w:t>
            </w:r>
            <w:r>
              <w:rPr>
                <w:rFonts w:hint="eastAsia"/>
              </w:rPr>
              <w:t>、</w:t>
            </w:r>
            <w:r>
              <w:t>ISISv6</w:t>
            </w:r>
            <w:r>
              <w:rPr>
                <w:rFonts w:hint="eastAsia"/>
              </w:rPr>
              <w:t>、</w:t>
            </w:r>
            <w:r>
              <w:t>BGP4+ For IPv6</w:t>
            </w:r>
            <w:r>
              <w:rPr>
                <w:rFonts w:hint="eastAsia"/>
              </w:rPr>
              <w:t>、</w:t>
            </w:r>
            <w:r>
              <w:t>IPv6 uRPF</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shd w:val="clear" w:color="000000" w:fill="FFFFFF"/>
            <w:noWrap/>
            <w:vAlign w:val="center"/>
          </w:tcPr>
          <w:p/>
        </w:tc>
        <w:tc>
          <w:tcPr>
            <w:tcW w:w="1406" w:type="dxa"/>
            <w:vMerge w:val="continue"/>
            <w:shd w:val="clear" w:color="000000" w:fill="FFFFFF"/>
            <w:vAlign w:val="center"/>
          </w:tcPr>
          <w:p>
            <w:pPr>
              <w:rPr>
                <w:highlight w:val="yellow"/>
              </w:rPr>
            </w:pPr>
          </w:p>
        </w:tc>
        <w:tc>
          <w:tcPr>
            <w:tcW w:w="6169" w:type="dxa"/>
            <w:shd w:val="clear" w:color="000000" w:fill="FFFFFF"/>
            <w:vAlign w:val="center"/>
          </w:tcPr>
          <w:p>
            <w:pPr>
              <w:rPr>
                <w:rFonts w:cs="宋体"/>
                <w:color w:val="000000"/>
                <w:kern w:val="0"/>
                <w:szCs w:val="21"/>
              </w:rPr>
            </w:pPr>
            <w:r>
              <w:t xml:space="preserve">5. </w:t>
            </w:r>
            <w:r>
              <w:rPr>
                <w:rFonts w:hint="eastAsia"/>
              </w:rPr>
              <w:t>交换芯片、</w:t>
            </w:r>
            <w:r>
              <w:t>CPU</w:t>
            </w:r>
            <w:r>
              <w:rPr>
                <w:rFonts w:hint="eastAsia"/>
              </w:rPr>
              <w:t>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47" w:type="dxa"/>
            <w:shd w:val="clear" w:color="000000" w:fill="FFFFFF"/>
            <w:noWrap/>
            <w:vAlign w:val="center"/>
          </w:tcPr>
          <w:p>
            <w:r>
              <w:rPr>
                <w:rFonts w:hint="eastAsia"/>
              </w:rPr>
              <w:t>3.11</w:t>
            </w:r>
          </w:p>
        </w:tc>
        <w:tc>
          <w:tcPr>
            <w:tcW w:w="1406" w:type="dxa"/>
            <w:shd w:val="clear" w:color="000000" w:fill="FFFFFF"/>
            <w:vAlign w:val="center"/>
          </w:tcPr>
          <w:p>
            <w:r>
              <w:rPr>
                <w:rFonts w:hint="eastAsia"/>
              </w:rPr>
              <w:t>冗余备链路万兆光模块</w:t>
            </w:r>
          </w:p>
        </w:tc>
        <w:tc>
          <w:tcPr>
            <w:tcW w:w="6169" w:type="dxa"/>
            <w:shd w:val="clear" w:color="000000" w:fill="FFFFFF"/>
            <w:vAlign w:val="center"/>
          </w:tcPr>
          <w:p>
            <w:pPr>
              <w:rPr>
                <w:rFonts w:cs="宋体"/>
                <w:color w:val="000000"/>
                <w:kern w:val="0"/>
                <w:szCs w:val="21"/>
              </w:rPr>
            </w:pPr>
            <w:r>
              <w:t>1. 10Gbps SFP+</w:t>
            </w:r>
            <w:r>
              <w:rPr>
                <w:rFonts w:hint="eastAsia"/>
              </w:rPr>
              <w:t>（多模</w:t>
            </w:r>
            <w:r>
              <w:t>300m/850nm</w:t>
            </w:r>
            <w:r>
              <w:rPr>
                <w:rFonts w:hint="eastAsia"/>
              </w:rPr>
              <w:t>，</w:t>
            </w:r>
            <w:r>
              <w:t>LC</w:t>
            </w:r>
            <w:r>
              <w:rPr>
                <w:rFonts w:hint="eastAsia"/>
              </w:rPr>
              <w:t>接口）光模块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shd w:val="clear" w:color="000000" w:fill="FFFFFF"/>
            <w:noWrap/>
            <w:vAlign w:val="center"/>
          </w:tcPr>
          <w:p>
            <w:r>
              <w:rPr>
                <w:rFonts w:hint="eastAsia"/>
              </w:rPr>
              <w:t>3.12</w:t>
            </w:r>
          </w:p>
        </w:tc>
        <w:tc>
          <w:tcPr>
            <w:tcW w:w="1406" w:type="dxa"/>
            <w:shd w:val="clear" w:color="000000" w:fill="FFFFFF"/>
            <w:vAlign w:val="center"/>
          </w:tcPr>
          <w:p>
            <w:r>
              <w:rPr>
                <w:rFonts w:hint="eastAsia"/>
              </w:rPr>
              <w:t>100G AOC有源光缆</w:t>
            </w:r>
          </w:p>
        </w:tc>
        <w:tc>
          <w:tcPr>
            <w:tcW w:w="6169" w:type="dxa"/>
            <w:shd w:val="clear" w:color="000000" w:fill="FFFFFF"/>
            <w:noWrap/>
            <w:vAlign w:val="center"/>
          </w:tcPr>
          <w:p>
            <w:r>
              <w:rPr>
                <w:rFonts w:hint="eastAsia"/>
              </w:rPr>
              <w:t>100G AOC堆叠线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shd w:val="clear" w:color="000000" w:fill="FFFFFF"/>
            <w:noWrap/>
            <w:vAlign w:val="center"/>
          </w:tcPr>
          <w:p>
            <w:r>
              <w:rPr>
                <w:rFonts w:hint="eastAsia"/>
              </w:rPr>
              <w:t>3.13</w:t>
            </w:r>
          </w:p>
        </w:tc>
        <w:tc>
          <w:tcPr>
            <w:tcW w:w="1406" w:type="dxa"/>
            <w:shd w:val="clear" w:color="000000" w:fill="FFFFFF"/>
            <w:vAlign w:val="center"/>
          </w:tcPr>
          <w:p>
            <w:r>
              <w:rPr>
                <w:rFonts w:hint="eastAsia"/>
              </w:rPr>
              <w:t>千兆光转电模块</w:t>
            </w:r>
          </w:p>
        </w:tc>
        <w:tc>
          <w:tcPr>
            <w:tcW w:w="6169" w:type="dxa"/>
            <w:shd w:val="clear" w:color="000000" w:fill="FFFFFF"/>
            <w:noWrap/>
            <w:vAlign w:val="center"/>
          </w:tcPr>
          <w:p>
            <w:r>
              <w:rPr>
                <w:rFonts w:hint="eastAsia"/>
              </w:rPr>
              <w:t>千兆光转电光模块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3.14</w:t>
            </w:r>
          </w:p>
        </w:tc>
        <w:tc>
          <w:tcPr>
            <w:tcW w:w="1406" w:type="dxa"/>
            <w:vMerge w:val="restart"/>
            <w:vAlign w:val="center"/>
          </w:tcPr>
          <w:p>
            <w:r>
              <w:rPr>
                <w:rFonts w:hint="eastAsia"/>
              </w:rPr>
              <w:t>中控节点</w:t>
            </w:r>
          </w:p>
        </w:tc>
        <w:tc>
          <w:tcPr>
            <w:tcW w:w="6169" w:type="dxa"/>
            <w:vAlign w:val="center"/>
          </w:tcPr>
          <w:p>
            <w:r>
              <w:rPr>
                <w:rFonts w:hint="eastAsia"/>
              </w:rPr>
              <w:t>1、支持建立多个不同工程界面，界面可自适应屏幕分辨率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2、支持宏模块、用户自建模块、云端资源共享等。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3、支持Tcp、Udp、Telnet、Http、Snmp、Mqtt等丰富的网络协议。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4、支持浏览器在线编程调试，无需安装任何软件。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5.不少于8路隔离低压继电器30VDC/AC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6.不少于8路数字I/O输入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7.不少于8路红外或单向RS-232串行通讯口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8.不少于8路双向RS-232/422/485串行通讯口(带隔离保护)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9.不少于1路RST系统复位按钮和3个LED系统状态指示灯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 xml:space="preserve">10.前面板带液晶显示屏和红外学习窗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 xml:space="preserve">11.前面板不少于4个可编程按键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3.15</w:t>
            </w:r>
          </w:p>
        </w:tc>
        <w:tc>
          <w:tcPr>
            <w:tcW w:w="1406" w:type="dxa"/>
            <w:vMerge w:val="restart"/>
            <w:vAlign w:val="center"/>
          </w:tcPr>
          <w:p>
            <w:r>
              <w:rPr>
                <w:rFonts w:hint="eastAsia"/>
              </w:rPr>
              <w:t>电源控制器</w:t>
            </w:r>
          </w:p>
        </w:tc>
        <w:tc>
          <w:tcPr>
            <w:tcW w:w="6169" w:type="dxa"/>
            <w:vAlign w:val="center"/>
          </w:tcPr>
          <w:p>
            <w:r>
              <w:rPr>
                <w:rFonts w:hint="eastAsia"/>
              </w:rPr>
              <w:t>1.总功率≥6500W，设备总负载输出电流≥30A，单路插座最大输出电流≥10A；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2.前面板≥1个国标5芯插座常供电，后面板≥8个插座可以接受控制；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3.每个电源插座可单独控制，关机后自动记忆。全开启或全关闭时，可单独设置每个通道的延时时间，延时≥1-900秒；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4.支持每路电源输出电流过大过小时发出告警信息，告警电流阈值、时间阈值可配置，默认不启用；通过网络上报告警信息给第三方远程运维平台；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5.设备断电再上电后自动进入配置的预置模式，包括：全开，全关，恢复断电前状态；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6.≥8组定时器可任意组合；支持配置每路输出的开关定时，循环周期可配置仅一次或每天、每周、每月循环执行等；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7.前面板具有液晶显示屏，轮询显示设备工作信息，如：设备名称/设备型号，网络信息，系统日期，每通道的电流/电压/统计总电量，可监测每一路的状态；</w:t>
            </w:r>
            <w:r>
              <w:rPr>
                <w:rFonts w:hint="eastAsia"/>
                <w:b/>
                <w:bCs/>
                <w:color w:val="FF0000"/>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8.为防止误触操作，通过设备前面板 lock 按键锁定或解锁电源输出控制按键；当操作前面板控制按键时，具有提示音；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9.支持配置设备工作模式，包括：时序器模式、继电器模式，时序器模式下可以配置每通道开关的顺序和延时，继电器模式只能通过手动按键、网页后台、控制命令的方式控制每通道的开关；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 xml:space="preserve">10.支持第三方平台通过网络控制设备，可远程获取输入电压、每一路输出电流、功耗、用电量、工作时长、异常告警等信息，远程开关智慧运维电量管理器的输出、配置工作模式、上电延迟时间、定时开关等参数；远程电量统计接口（当前每路输出电流、当前每路输出功耗），每一路端口的运行状态；（提供第三方检测机构出具的检测报告扫描件，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11.≥1路RJ45网络接口，支持TCP/UDP网络控制协议；通过 J45网可以接口实现智能级联，可同时控制≥200台智慧运维电量管理器；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12.≥1路RS232控制接口，支持串口控制协议；支持提供API接口，被三方系统集成管理，提供 websocket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3.16</w:t>
            </w:r>
          </w:p>
        </w:tc>
        <w:tc>
          <w:tcPr>
            <w:tcW w:w="1406" w:type="dxa"/>
            <w:vAlign w:val="center"/>
          </w:tcPr>
          <w:p>
            <w:r>
              <w:rPr>
                <w:rFonts w:hint="eastAsia"/>
              </w:rPr>
              <w:t>操控终端</w:t>
            </w:r>
          </w:p>
        </w:tc>
        <w:tc>
          <w:tcPr>
            <w:tcW w:w="6169" w:type="dxa"/>
            <w:vAlign w:val="center"/>
          </w:tcPr>
          <w:p>
            <w:r>
              <w:rPr>
                <w:rFonts w:hint="eastAsia"/>
              </w:rPr>
              <w:t>≥15.6寸触摸一体机，安卓操作系统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3.17</w:t>
            </w:r>
          </w:p>
        </w:tc>
        <w:tc>
          <w:tcPr>
            <w:tcW w:w="1406" w:type="dxa"/>
            <w:vAlign w:val="center"/>
          </w:tcPr>
          <w:p>
            <w:r>
              <w:rPr>
                <w:rFonts w:hint="eastAsia"/>
              </w:rPr>
              <w:t>线材及其他</w:t>
            </w:r>
          </w:p>
        </w:tc>
        <w:tc>
          <w:tcPr>
            <w:tcW w:w="6169" w:type="dxa"/>
            <w:noWrap/>
            <w:vAlign w:val="center"/>
          </w:tcPr>
          <w:p>
            <w:r>
              <w:rPr>
                <w:rFonts w:hint="eastAsia"/>
              </w:rPr>
              <w:t>安装配套网络线材及辅材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7" w:type="dxa"/>
            <w:noWrap/>
            <w:vAlign w:val="center"/>
          </w:tcPr>
          <w:p>
            <w:r>
              <w:rPr>
                <w:rFonts w:hint="eastAsia"/>
              </w:rPr>
              <w:t>4</w:t>
            </w:r>
          </w:p>
        </w:tc>
        <w:tc>
          <w:tcPr>
            <w:tcW w:w="7575" w:type="dxa"/>
            <w:gridSpan w:val="2"/>
            <w:vAlign w:val="center"/>
          </w:tcPr>
          <w:p>
            <w:r>
              <w:rPr>
                <w:rFonts w:hint="eastAsia"/>
              </w:rPr>
              <w:t>远程视频会议系统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4.1</w:t>
            </w:r>
          </w:p>
        </w:tc>
        <w:tc>
          <w:tcPr>
            <w:tcW w:w="1406" w:type="dxa"/>
            <w:vMerge w:val="restart"/>
            <w:vAlign w:val="center"/>
          </w:tcPr>
          <w:p>
            <w:r>
              <w:rPr>
                <w:rFonts w:hint="eastAsia"/>
              </w:rPr>
              <w:t>会议管理平台</w:t>
            </w:r>
          </w:p>
        </w:tc>
        <w:tc>
          <w:tcPr>
            <w:tcW w:w="6169" w:type="dxa"/>
            <w:vAlign w:val="center"/>
          </w:tcPr>
          <w:p>
            <w:pPr>
              <w:rPr>
                <w:color w:val="000000"/>
              </w:rPr>
            </w:pPr>
            <w:r>
              <w:rPr>
                <w:rFonts w:hint="eastAsia" w:ascii="宋体" w:hAnsi="宋体" w:cs="宋体"/>
                <w:b/>
                <w:bCs/>
                <w:color w:val="FF0000"/>
                <w:kern w:val="0"/>
                <w:szCs w:val="21"/>
                <w:lang w:bidi="ar"/>
              </w:rPr>
              <w:t>1、▲支持内置MCU设备，无需单独硬件进行部署；（提供第三方检测机构出具的检测报告扫描件，原件备查）。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2、支持容器微服务架构，支持将不同功能的业务部署在不同的容器内运行。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3、支持发起即时会议、发起预约会议、发起周期会议、修改/取消预约会议、成员加入/退出会议、结束会议、延长会议。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4、支持分权分域管理。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5、支持用户权限三员分离，支持系统管理员、安全保密管理员、审计员用户角色；</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6、支持会议发言权限控制，会议管理员或会议主席终端可控制是否允许发言。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7、支持会议拆分和合并功能；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8、支持语音激励会控、导演会控、主席会控等多种会议管理。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9、在会议进行过程中，会议主待人可以锁定会议，不允许主持人之外的其他终端主动加入会议；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10、支持广播源单/多画面切换，支持广播源浏览和轮询。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11、支持打开或关闭终端的扬声器和麦克风，支持批量操作，支持一键静音和闭音。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12、支持点名发言，会议管理员（主持人）或会议主席可以点击某个会场进行点名发言。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13、可以选择多个会场进入一个浏览列表，并指定一个固定的会场轮训时间，业务系统按照时间间隔进行会场轮询或主席浏览。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4.2</w:t>
            </w:r>
          </w:p>
        </w:tc>
        <w:tc>
          <w:tcPr>
            <w:tcW w:w="1406" w:type="dxa"/>
            <w:vMerge w:val="restart"/>
            <w:vAlign w:val="center"/>
          </w:tcPr>
          <w:p>
            <w:r>
              <w:rPr>
                <w:rFonts w:hint="eastAsia"/>
              </w:rPr>
              <w:t>视频调度录制平台</w:t>
            </w:r>
          </w:p>
        </w:tc>
        <w:tc>
          <w:tcPr>
            <w:tcW w:w="6169" w:type="dxa"/>
            <w:vAlign w:val="center"/>
          </w:tcPr>
          <w:p>
            <w:r>
              <w:rPr>
                <w:rFonts w:hint="eastAsia"/>
              </w:rPr>
              <w:t>1、支持H.265、H.264等视频编解码协议。</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2、支持G.722、AAC-LD等音频编解码协议。</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3、支持4K、1080P、720P等图像格式。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4、支持不低于6组会议并发录制，每组会议2路视频1路音频同步录制。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5、内置不小于2T硬盘。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4.3</w:t>
            </w:r>
          </w:p>
        </w:tc>
        <w:tc>
          <w:tcPr>
            <w:tcW w:w="1406" w:type="dxa"/>
            <w:vMerge w:val="restart"/>
            <w:vAlign w:val="center"/>
          </w:tcPr>
          <w:p>
            <w:r>
              <w:rPr>
                <w:rFonts w:hint="eastAsia"/>
              </w:rPr>
              <w:t>多点控制单元MCU</w:t>
            </w:r>
          </w:p>
        </w:tc>
        <w:tc>
          <w:tcPr>
            <w:tcW w:w="6169" w:type="dxa"/>
            <w:vAlign w:val="center"/>
          </w:tcPr>
          <w:p>
            <w:r>
              <w:rPr>
                <w:rFonts w:hint="eastAsia"/>
              </w:rPr>
              <w:t>1、电源、芯片、媒体插卡、MCU整机、网口、风扇、硬盘多重备份。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2、电信级器件和加工工艺、稳定可靠，支持7x24小时连续正常工作。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3、单台设备支持不少于200路会议终端接入。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 ITU-T H.323、IETF SIP通信协议。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5、支持1Mbps带宽实现4K会议效果；</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6、支持H.265、H.264HP、H.264SVC等视频编解码协议。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7、支持G.711A、G.722.1C、G.729、AAC_LD等音频编解码协议；</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8、支持BFCP、H.239辅流标准协议。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9、支持主视频达到4K30时，辅视频同时达到4K30超高清效果。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10、支持动态端口资源分配，1路4K30资源可用于2路1080P60或4路1080P30。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11、在IP网络状态不好的情况下，最大支持网络40%丢包时不影响会议进行，视频流畅，无花屏现象；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12、支持MCU冗余备份功能，当任意MCU发生故障时，自动将会议调度在其他MCU，无手动配置。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13、支持自动会议多画面，支持至少25画面。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14、支持辅流加入多画面，实现在多分屏中显示辅流内容。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15、支持AVC、SVC混合的会议模式；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16、支持断线重呼功能，可自动重邀掉线终端再次入会。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4.4</w:t>
            </w:r>
          </w:p>
        </w:tc>
        <w:tc>
          <w:tcPr>
            <w:tcW w:w="1406" w:type="dxa"/>
            <w:vMerge w:val="restart"/>
            <w:vAlign w:val="center"/>
          </w:tcPr>
          <w:p>
            <w:r>
              <w:rPr>
                <w:rFonts w:hint="eastAsia"/>
              </w:rPr>
              <w:t>VDC服务器</w:t>
            </w:r>
          </w:p>
        </w:tc>
        <w:tc>
          <w:tcPr>
            <w:tcW w:w="6169" w:type="dxa"/>
            <w:vAlign w:val="center"/>
          </w:tcPr>
          <w:p>
            <w:r>
              <w:rPr>
                <w:rFonts w:hint="eastAsia"/>
              </w:rPr>
              <w:t>1、采用专用硬件平台，插板式结构设计。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2、支持不少于16块业务板卡，板卡支持HDMI接口，本次配置10块板卡。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3、支持ITU-T H.264、H.265等视频编解码协议；支持G.711a、G.711u、G.722等音频编解码协议。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4、支持4K30、1080P60等高清视频效果。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5、设备提供IP接口可以实现和MCU的远距离部署，不受距离限制。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4.5</w:t>
            </w:r>
          </w:p>
        </w:tc>
        <w:tc>
          <w:tcPr>
            <w:tcW w:w="1406" w:type="dxa"/>
            <w:vMerge w:val="restart"/>
            <w:vAlign w:val="center"/>
          </w:tcPr>
          <w:p>
            <w:r>
              <w:rPr>
                <w:rFonts w:hint="eastAsia"/>
              </w:rPr>
              <w:t>高清会议终端</w:t>
            </w:r>
          </w:p>
        </w:tc>
        <w:tc>
          <w:tcPr>
            <w:tcW w:w="6169" w:type="dxa"/>
            <w:vAlign w:val="center"/>
          </w:tcPr>
          <w:p>
            <w:r>
              <w:rPr>
                <w:rFonts w:hint="eastAsia"/>
              </w:rPr>
              <w:t>1、采用硬件分体式结构，嵌入式操作系统，非PC架构，具有液晶显示屏，可以显示终端IP地址、升级状态等功能。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2、支持ITU-I H.323，IETF SIP通信标准协议。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3、支持ITU-T H.264、H.264HP、H.265等视频编解码协议。</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4、支持G.711a、G.711u、G.722、G.729A、AAC-LD等音频编解码协议。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5、支持主视频达到4K30时，辅视频同时达到4K30超高清效果。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ascii="宋体" w:hAnsi="宋体" w:cs="宋体"/>
                <w:b/>
                <w:bCs/>
                <w:color w:val="FF0000"/>
                <w:kern w:val="0"/>
                <w:szCs w:val="21"/>
                <w:lang w:bidi="ar"/>
              </w:rPr>
              <w:t>6、为了节约带宽资源，支持最低占用1Mbps带宽实现4K30会议效果；（提供第三方检测机构出具的检测报告扫描件，原件备查）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7、支持抗丢包修复能力，丢包达40%时，视频图像清晰流畅，无卡顿、马赛克等现象，会议仍能够正常召开；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8、支持不少于4路高清视频输入接口，输入接口支持HDMI、VGA等接口，其中HDMI接口不少于2个，不能通过外接设备满足；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9、支持不少于6路音频输入，支持不少于6路音频输出，支持左右双声道立体声输出。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10、支持辅流伴音功能，可通过HDMI接口发送辅视频到远端会场。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000000"/>
              </w:rPr>
            </w:pPr>
            <w:r>
              <w:rPr>
                <w:rFonts w:hint="eastAsia"/>
                <w:color w:val="000000"/>
              </w:rPr>
              <w:t>11、支持合视传输功能，支持将两路视频源合并为一路视频发送到远端会场；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4.6</w:t>
            </w:r>
          </w:p>
        </w:tc>
        <w:tc>
          <w:tcPr>
            <w:tcW w:w="1406" w:type="dxa"/>
            <w:vMerge w:val="restart"/>
            <w:vAlign w:val="center"/>
          </w:tcPr>
          <w:p>
            <w:r>
              <w:rPr>
                <w:rFonts w:hint="eastAsia"/>
              </w:rPr>
              <w:t>高清一体摄像机</w:t>
            </w:r>
          </w:p>
        </w:tc>
        <w:tc>
          <w:tcPr>
            <w:tcW w:w="6169" w:type="dxa"/>
            <w:vAlign w:val="center"/>
          </w:tcPr>
          <w:p>
            <w:r>
              <w:rPr>
                <w:rFonts w:hint="eastAsia"/>
              </w:rPr>
              <w:t>1、采用不小于1/2.5" HD CMOS镜头，不低于850万有效像素，与会议终端同品牌。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2、支持不小于12倍光学变焦，支持不小于16倍数字变焦。</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3、支持HDMI和HDBaseT接口。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4、云台转角：水平不小于±150°。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5、水平视角不小于70°。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4.7</w:t>
            </w:r>
          </w:p>
        </w:tc>
        <w:tc>
          <w:tcPr>
            <w:tcW w:w="1406" w:type="dxa"/>
            <w:vMerge w:val="restart"/>
            <w:vAlign w:val="center"/>
          </w:tcPr>
          <w:p>
            <w:r>
              <w:rPr>
                <w:rFonts w:hint="eastAsia"/>
              </w:rPr>
              <w:t>阵列麦克风</w:t>
            </w:r>
          </w:p>
        </w:tc>
        <w:tc>
          <w:tcPr>
            <w:tcW w:w="6169" w:type="dxa"/>
            <w:vAlign w:val="center"/>
          </w:tcPr>
          <w:p>
            <w:r>
              <w:rPr>
                <w:rFonts w:hint="eastAsia"/>
              </w:rPr>
              <w:t>1、支持360度全向拾音范围，拾音半径至少6米。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2、支持手拉手串联。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4.8</w:t>
            </w:r>
          </w:p>
        </w:tc>
        <w:tc>
          <w:tcPr>
            <w:tcW w:w="1406" w:type="dxa"/>
            <w:vAlign w:val="center"/>
          </w:tcPr>
          <w:p>
            <w:r>
              <w:rPr>
                <w:rFonts w:hint="eastAsia"/>
              </w:rPr>
              <w:t>线材及其他</w:t>
            </w:r>
          </w:p>
        </w:tc>
        <w:tc>
          <w:tcPr>
            <w:tcW w:w="6169" w:type="dxa"/>
            <w:noWrap/>
            <w:vAlign w:val="center"/>
          </w:tcPr>
          <w:p>
            <w:r>
              <w:rPr>
                <w:rFonts w:hint="eastAsia"/>
              </w:rPr>
              <w:t>安装配套网络线材及辅材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7575" w:type="dxa"/>
            <w:gridSpan w:val="2"/>
            <w:vAlign w:val="center"/>
          </w:tcPr>
          <w:p>
            <w:r>
              <w:rPr>
                <w:rFonts w:hint="eastAsia"/>
              </w:rPr>
              <w:t>数字会议发言系统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5.1</w:t>
            </w:r>
          </w:p>
        </w:tc>
        <w:tc>
          <w:tcPr>
            <w:tcW w:w="1406" w:type="dxa"/>
            <w:vMerge w:val="restart"/>
            <w:vAlign w:val="center"/>
          </w:tcPr>
          <w:p>
            <w:r>
              <w:rPr>
                <w:rFonts w:hint="eastAsia"/>
              </w:rPr>
              <w:t>会议系统主机</w:t>
            </w:r>
          </w:p>
        </w:tc>
        <w:tc>
          <w:tcPr>
            <w:tcW w:w="6169" w:type="dxa"/>
            <w:vAlign w:val="center"/>
          </w:tcPr>
          <w:p>
            <w:r>
              <w:rPr>
                <w:rFonts w:hint="eastAsia"/>
              </w:rPr>
              <w:t>1.符合IEC60914国际标准；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2.主机内置DSP音频处理模块，可有限度的防止啸叫；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3.不少于三路8芯会议单元输出接口,单台可挂载不少于90个会议单元,且线路长度可高达100米；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ascii="宋体" w:hAnsi="宋体" w:cs="宋体"/>
                <w:b/>
                <w:bCs/>
                <w:color w:val="FF0000"/>
                <w:kern w:val="0"/>
                <w:szCs w:val="21"/>
                <w:lang w:bidi="ar"/>
              </w:rPr>
              <w:t>4.▲自带不小于3寸LCD液晶显示器，可实时显示话筒状态；（提供第三方检测机构出具的检测报告扫描件，原件备查）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5.支持自由讨论模式,先入先出模式；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6.内置三进一出视频矩阵，可直接连接1-3个摄像机，实现视频自动跟踪；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7.系统支持多支主席单元同时在线；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8.会议话筒具备高中低音调节功能；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9.系统具备线路带电“热插拔”功能，让系统的安全性及稳定性得到有力的保障；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10.信噪比:≥70dB；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11.动态范围:&gt;90dB；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12.功率:&lt;100W。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5.2</w:t>
            </w:r>
          </w:p>
        </w:tc>
        <w:tc>
          <w:tcPr>
            <w:tcW w:w="1406" w:type="dxa"/>
            <w:vMerge w:val="restart"/>
            <w:vAlign w:val="center"/>
          </w:tcPr>
          <w:p>
            <w:r>
              <w:rPr>
                <w:rFonts w:hint="eastAsia"/>
              </w:rPr>
              <w:t>会议主席单元</w:t>
            </w:r>
          </w:p>
        </w:tc>
        <w:tc>
          <w:tcPr>
            <w:tcW w:w="6169" w:type="dxa"/>
            <w:vAlign w:val="center"/>
          </w:tcPr>
          <w:p>
            <w:r>
              <w:rPr>
                <w:rFonts w:hint="eastAsia"/>
              </w:rPr>
              <w:t>1.超指向型短杆设计，咪杆长度≤210mm；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2.拾音距离≥50CM；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3.内置DSP音频处理模块，具有啸叫抑制功能，防止声音回输；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4.超强的抗手机RF干扰性；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5.具有自我检测功能，可自动完成设备自检；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6.主席单元优先键按下,代表单元自动关闭；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7.灵敏度：≤ -34dB±3dB；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8.频率响应不低于：20Hz–20000Hz；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9.最大声压级：≥135dB SPL@1kHz；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10.非线性失真(THD)：&lt;0.3%。</w:t>
            </w:r>
          </w:p>
        </w:tc>
      </w:tr>
      <w:tr>
        <w:tblPrEx>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5.3</w:t>
            </w:r>
          </w:p>
        </w:tc>
        <w:tc>
          <w:tcPr>
            <w:tcW w:w="1406" w:type="dxa"/>
            <w:vMerge w:val="restart"/>
            <w:vAlign w:val="center"/>
          </w:tcPr>
          <w:p>
            <w:r>
              <w:rPr>
                <w:rFonts w:hint="eastAsia"/>
              </w:rPr>
              <w:t>会议代表单元</w:t>
            </w:r>
          </w:p>
        </w:tc>
        <w:tc>
          <w:tcPr>
            <w:tcW w:w="6169" w:type="dxa"/>
            <w:noWrap/>
            <w:vAlign w:val="center"/>
          </w:tcPr>
          <w:p>
            <w:r>
              <w:rPr>
                <w:rFonts w:hint="eastAsia"/>
              </w:rPr>
              <w:t>1.超指向型短杆设计，咪杆长度≤210mm；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2.拾音距离≥50CM；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3.内置DSP音频处理模块，具有啸叫抑制功能，防止声音回输；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4.超强的抗手机RF干扰性；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5.具有自我检测功能，可自动完成设备自检；</w:t>
            </w:r>
          </w:p>
        </w:tc>
      </w:tr>
      <w:tr>
        <w:tblPrEx>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6.灵敏度：≤ -34dB±3dB；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7.频率响应不低于：20Hz–20000Hz；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8.最大声压级：≥135dB SPL@1kHz；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r>
              <w:rPr>
                <w:rFonts w:hint="eastAsia"/>
              </w:rPr>
              <w:t>9.非线性失真(THD)：&lt;0.3%。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947" w:type="dxa"/>
            <w:vMerge w:val="restart"/>
            <w:noWrap/>
            <w:vAlign w:val="center"/>
          </w:tcPr>
          <w:p>
            <w:r>
              <w:rPr>
                <w:rFonts w:hint="eastAsia"/>
              </w:rPr>
              <w:t>5.4</w:t>
            </w:r>
          </w:p>
        </w:tc>
        <w:tc>
          <w:tcPr>
            <w:tcW w:w="1406" w:type="dxa"/>
            <w:vMerge w:val="restart"/>
            <w:vAlign w:val="center"/>
          </w:tcPr>
          <w:p>
            <w:r>
              <w:rPr>
                <w:rFonts w:hint="eastAsia"/>
              </w:rPr>
              <w:t>无线接入点和收发器</w:t>
            </w:r>
          </w:p>
        </w:tc>
        <w:tc>
          <w:tcPr>
            <w:tcW w:w="6169" w:type="dxa"/>
            <w:vAlign w:val="center"/>
          </w:tcPr>
          <w:p>
            <w:r>
              <w:rPr>
                <w:rFonts w:hint="eastAsia"/>
                <w:color w:val="000000"/>
              </w:rPr>
              <w:t>1.支持</w:t>
            </w:r>
            <w:r>
              <w:rPr>
                <w:color w:val="000000"/>
              </w:rPr>
              <w:t>802.11ax</w:t>
            </w:r>
            <w:r>
              <w:rPr>
                <w:rFonts w:hint="eastAsia"/>
                <w:color w:val="000000"/>
              </w:rPr>
              <w:t>标准，整机支持</w:t>
            </w:r>
            <w:r>
              <w:rPr>
                <w:rFonts w:hint="eastAsia"/>
              </w:rPr>
              <w:t>≥</w:t>
            </w:r>
            <w:r>
              <w:rPr>
                <w:color w:val="000000"/>
              </w:rPr>
              <w:t>10</w:t>
            </w:r>
            <w:r>
              <w:rPr>
                <w:rFonts w:hint="eastAsia"/>
                <w:color w:val="000000"/>
              </w:rPr>
              <w:t>条流。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2.采用硬件独立的四射频设计，一个2.4GHz射频卡，三个5GHz射频卡。</w:t>
            </w:r>
          </w:p>
          <w:p>
            <w:r>
              <w:rPr>
                <w:rFonts w:hint="eastAsia"/>
              </w:rPr>
              <w:t>3.整机最大接入速率≥8.5Gbps。</w:t>
            </w:r>
          </w:p>
          <w:p>
            <w:r>
              <w:rPr>
                <w:rFonts w:hint="eastAsia"/>
              </w:rPr>
              <w:t>4.至少1个10/100/1000M以太网接口支持对外供电，可扩展物联网模块。</w:t>
            </w:r>
          </w:p>
          <w:p>
            <w:r>
              <w:t>5</w:t>
            </w:r>
            <w:r>
              <w:rPr>
                <w:rFonts w:hint="eastAsia"/>
              </w:rPr>
              <w:t>.支持1个5G电口和1个5G光口；</w:t>
            </w:r>
          </w:p>
          <w:p>
            <w:r>
              <w:rPr>
                <w:rFonts w:hint="eastAsia"/>
              </w:rPr>
              <w:t>6.整机最大功耗≤40W。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5.5</w:t>
            </w:r>
          </w:p>
        </w:tc>
        <w:tc>
          <w:tcPr>
            <w:tcW w:w="1406" w:type="dxa"/>
            <w:vAlign w:val="center"/>
          </w:tcPr>
          <w:p>
            <w:r>
              <w:rPr>
                <w:rFonts w:hint="eastAsia"/>
              </w:rPr>
              <w:t>耗材及其他</w:t>
            </w:r>
          </w:p>
        </w:tc>
        <w:tc>
          <w:tcPr>
            <w:tcW w:w="6169" w:type="dxa"/>
            <w:noWrap/>
            <w:vAlign w:val="center"/>
          </w:tcPr>
          <w:p>
            <w:r>
              <w:rPr>
                <w:rFonts w:hint="eastAsia"/>
              </w:rPr>
              <w:t>音频线材及辅材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6</w:t>
            </w:r>
          </w:p>
        </w:tc>
        <w:tc>
          <w:tcPr>
            <w:tcW w:w="7575" w:type="dxa"/>
            <w:gridSpan w:val="2"/>
            <w:vAlign w:val="center"/>
          </w:tcPr>
          <w:p>
            <w:r>
              <w:rPr>
                <w:rFonts w:hint="eastAsia"/>
              </w:rPr>
              <w:t>专业坐席桌椅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noWrap/>
            <w:vAlign w:val="center"/>
          </w:tcPr>
          <w:p>
            <w:r>
              <w:rPr>
                <w:rFonts w:hint="eastAsia"/>
              </w:rPr>
              <w:t>6.1</w:t>
            </w:r>
          </w:p>
        </w:tc>
        <w:tc>
          <w:tcPr>
            <w:tcW w:w="1406" w:type="dxa"/>
            <w:vAlign w:val="center"/>
          </w:tcPr>
          <w:p>
            <w:r>
              <w:rPr>
                <w:rFonts w:hint="eastAsia"/>
              </w:rPr>
              <w:t>坐席控制台</w:t>
            </w:r>
          </w:p>
        </w:tc>
        <w:tc>
          <w:tcPr>
            <w:tcW w:w="6169" w:type="dxa"/>
            <w:noWrap/>
            <w:vAlign w:val="center"/>
          </w:tcPr>
          <w:p>
            <w:r>
              <w:rPr>
                <w:rFonts w:hint="eastAsia"/>
              </w:rPr>
              <w:t>根据现场情况定制，满足22人或以上操作业务需求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47" w:type="dxa"/>
            <w:noWrap/>
            <w:vAlign w:val="center"/>
          </w:tcPr>
          <w:p>
            <w:r>
              <w:rPr>
                <w:rFonts w:hint="eastAsia"/>
              </w:rPr>
              <w:t>6.2</w:t>
            </w:r>
          </w:p>
        </w:tc>
        <w:tc>
          <w:tcPr>
            <w:tcW w:w="1406" w:type="dxa"/>
            <w:vAlign w:val="center"/>
          </w:tcPr>
          <w:p>
            <w:r>
              <w:rPr>
                <w:rFonts w:hint="eastAsia"/>
              </w:rPr>
              <w:t>人体工学操作椅</w:t>
            </w:r>
          </w:p>
        </w:tc>
        <w:tc>
          <w:tcPr>
            <w:tcW w:w="6169" w:type="dxa"/>
            <w:noWrap/>
            <w:vAlign w:val="center"/>
          </w:tcPr>
          <w:p>
            <w:r>
              <w:rPr>
                <w:rFonts w:hint="eastAsia"/>
              </w:rPr>
              <w:t>定制，采用网面，透气大方美观，满足7*24小时高强度工作运作的专业指挥中心座椅、符合人体工学，可以有效保护腰椎、颈椎免受长时间工作的损害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6.3</w:t>
            </w:r>
          </w:p>
        </w:tc>
        <w:tc>
          <w:tcPr>
            <w:tcW w:w="1406" w:type="dxa"/>
            <w:vAlign w:val="center"/>
          </w:tcPr>
          <w:p>
            <w:r>
              <w:rPr>
                <w:rFonts w:hint="eastAsia"/>
              </w:rPr>
              <w:t>单层显示器支臂</w:t>
            </w:r>
          </w:p>
        </w:tc>
        <w:tc>
          <w:tcPr>
            <w:tcW w:w="6169" w:type="dxa"/>
            <w:noWrap/>
            <w:vAlign w:val="center"/>
          </w:tcPr>
          <w:p>
            <w:r>
              <w:rPr>
                <w:rFonts w:hint="eastAsia"/>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6.4</w:t>
            </w:r>
          </w:p>
        </w:tc>
        <w:tc>
          <w:tcPr>
            <w:tcW w:w="1406" w:type="dxa"/>
            <w:vAlign w:val="center"/>
          </w:tcPr>
          <w:p>
            <w:r>
              <w:rPr>
                <w:rFonts w:hint="eastAsia"/>
              </w:rPr>
              <w:t>单层键盘托盘</w:t>
            </w:r>
          </w:p>
        </w:tc>
        <w:tc>
          <w:tcPr>
            <w:tcW w:w="6169" w:type="dxa"/>
            <w:noWrap/>
            <w:vAlign w:val="center"/>
          </w:tcPr>
          <w:p>
            <w:r>
              <w:rPr>
                <w:rFonts w:hint="eastAsia"/>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二</w:t>
            </w:r>
          </w:p>
        </w:tc>
        <w:tc>
          <w:tcPr>
            <w:tcW w:w="7575" w:type="dxa"/>
            <w:gridSpan w:val="2"/>
            <w:vAlign w:val="center"/>
          </w:tcPr>
          <w:p>
            <w:r>
              <w:rPr>
                <w:rFonts w:hint="eastAsia"/>
              </w:rPr>
              <w:t>决策室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vAlign w:val="center"/>
          </w:tcPr>
          <w:p>
            <w:r>
              <w:rPr>
                <w:rFonts w:hint="eastAsia"/>
              </w:rPr>
              <w:t>LED显示大屏系统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47" w:type="dxa"/>
            <w:vMerge w:val="restart"/>
            <w:noWrap/>
            <w:vAlign w:val="center"/>
          </w:tcPr>
          <w:p>
            <w:r>
              <w:rPr>
                <w:rFonts w:hint="eastAsia"/>
              </w:rPr>
              <w:t>1.1</w:t>
            </w:r>
          </w:p>
        </w:tc>
        <w:tc>
          <w:tcPr>
            <w:tcW w:w="1406" w:type="dxa"/>
            <w:vMerge w:val="restart"/>
            <w:vAlign w:val="center"/>
          </w:tcPr>
          <w:p>
            <w:r>
              <w:rPr>
                <w:rFonts w:hint="eastAsia"/>
              </w:rPr>
              <w:t>小间距LED显示屏</w:t>
            </w:r>
          </w:p>
        </w:tc>
        <w:tc>
          <w:tcPr>
            <w:tcW w:w="6169" w:type="dxa"/>
            <w:vAlign w:val="center"/>
          </w:tcPr>
          <w:p>
            <w:r>
              <w:rPr>
                <w:rFonts w:hint="eastAsia"/>
              </w:rPr>
              <w:t>★1、面积不少于12.96平方米，像素间距≤1.25mm；</w:t>
            </w:r>
          </w:p>
        </w:tc>
      </w:tr>
      <w:tr>
        <w:tblPrEx>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▲2、采用COB倒装封装，采用RGB芯片全倒装技术，晶片直接焊在PCB上，无焊线，散热好，支持巨量转移技术；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3、整屏分辨率≥3840点×2160点；像素密度≥640000点/㎡；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4、对比度：10000:1；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5、一体化压铸铝箱体设计，箱体背板为一次性整体压铸成型，背板和后盖均为压铸铝或铝镁合金材质，全金属自然散热结构，静音无风扇；LED箱体支持X/Y/Z六向调节；外壳防尘等级达到IP5X；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6、刷新率：≥3840Hz；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pPr>
              <w:rPr>
                <w:rFonts w:hint="eastAsia" w:ascii="宋体" w:hAnsi="宋体" w:cs="宋体"/>
                <w:b/>
                <w:bCs/>
                <w:color w:val="FF0000"/>
                <w:kern w:val="0"/>
                <w:szCs w:val="21"/>
                <w:lang w:bidi="ar"/>
              </w:rPr>
            </w:pPr>
            <w:r>
              <w:rPr>
                <w:rFonts w:hint="eastAsia" w:ascii="宋体" w:hAnsi="宋体" w:cs="宋体"/>
                <w:b/>
                <w:bCs/>
                <w:color w:val="FF0000"/>
                <w:kern w:val="0"/>
                <w:szCs w:val="21"/>
                <w:lang w:bidi="ar"/>
              </w:rPr>
              <w:t>▲7、采用EBL+技术(enhance black level）,超黑底色，哑面处理，提高屏体的黑色水平，增强屏体的对比度，同时提升观看的舒适度、降低触摸痕迹；（提供第三方检测机构出具的检测报告扫描件，原件备查）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pPr>
              <w:rPr>
                <w:rFonts w:hint="eastAsia" w:ascii="宋体" w:hAnsi="宋体" w:cs="宋体"/>
                <w:b/>
                <w:bCs/>
                <w:color w:val="FF0000"/>
                <w:kern w:val="0"/>
                <w:szCs w:val="21"/>
                <w:lang w:bidi="ar"/>
              </w:rPr>
            </w:pPr>
            <w:r>
              <w:rPr>
                <w:rFonts w:hint="eastAsia" w:ascii="宋体" w:hAnsi="宋体" w:cs="宋体"/>
                <w:b/>
                <w:bCs/>
                <w:color w:val="FF0000"/>
                <w:kern w:val="0"/>
                <w:szCs w:val="21"/>
                <w:lang w:bidi="ar"/>
              </w:rPr>
              <w:t>▲8、光生物安全及低蓝光要求：按 GB/T 20145-2006灯和灯系统的光生物安全性辐亮度无危险标准：辐亮度≤1W/（㎡×sr)符合RG0等级，属于无危害类；对视网膜蓝光危害LB≤1W.m-2.sr-1,属于蓝光无危害（提供第三方检测机构出具的检测报告扫描件，原件备查）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pPr>
              <w:rPr>
                <w:rFonts w:hint="eastAsia" w:ascii="宋体" w:hAnsi="宋体" w:cs="宋体"/>
                <w:b/>
                <w:bCs/>
                <w:color w:val="FF0000"/>
                <w:kern w:val="0"/>
                <w:szCs w:val="21"/>
                <w:lang w:bidi="ar"/>
              </w:rPr>
            </w:pPr>
            <w:r>
              <w:rPr>
                <w:rFonts w:hint="eastAsia" w:ascii="宋体" w:hAnsi="宋体" w:cs="宋体"/>
                <w:b/>
                <w:bCs/>
                <w:color w:val="FF0000"/>
                <w:kern w:val="0"/>
                <w:szCs w:val="21"/>
                <w:lang w:bidi="ar"/>
              </w:rPr>
              <w:t>9、显示效果：发光面光泽度≤10GU，反光率≤5%，墨色一致性△E＜0.5，色准△E＜0.9，面光源设计有效抑制 90%摩尔纹（提供第三方检测机构出具的检测报告扫描件，原件备查）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pPr>
              <w:rPr>
                <w:rFonts w:hint="eastAsia" w:eastAsia="宋体"/>
                <w:b/>
                <w:bCs/>
                <w:color w:val="FF0000"/>
                <w:lang w:eastAsia="zh-CN"/>
              </w:rPr>
            </w:pPr>
            <w:r>
              <w:rPr>
                <w:rFonts w:hint="eastAsia"/>
                <w:b/>
                <w:bCs/>
                <w:color w:val="FF0000"/>
              </w:rPr>
              <w:t>▲10、产品符合CESI产品认证实施规则，符合CESI-PC-OD66中8K超清显示要求；并提供证书扫描件，原件备查</w:t>
            </w:r>
            <w:r>
              <w:rPr>
                <w:rFonts w:hint="eastAsia"/>
                <w:b/>
                <w:bCs/>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7" w:type="dxa"/>
            <w:vMerge w:val="continue"/>
            <w:noWrap/>
            <w:vAlign w:val="center"/>
          </w:tcPr>
          <w:p/>
        </w:tc>
        <w:tc>
          <w:tcPr>
            <w:tcW w:w="1406" w:type="dxa"/>
            <w:vMerge w:val="continue"/>
            <w:vAlign w:val="center"/>
          </w:tcPr>
          <w:p/>
        </w:tc>
        <w:tc>
          <w:tcPr>
            <w:tcW w:w="6169" w:type="dxa"/>
            <w:vAlign w:val="center"/>
          </w:tcPr>
          <w:p>
            <w:pPr>
              <w:rPr>
                <w:rFonts w:hint="eastAsia"/>
                <w:b/>
                <w:bCs/>
                <w:color w:val="FF0000"/>
              </w:rPr>
            </w:pPr>
            <w:r>
              <w:rPr>
                <w:rFonts w:hint="eastAsia"/>
                <w:b/>
                <w:bCs/>
                <w:color w:val="FF0000"/>
              </w:rPr>
              <w:t>▲11、为保障色彩呈现，所投屏体依据CESI/TS 011-2018认证标准和技术要求，符合色彩品质A级评定，并提供证书</w:t>
            </w:r>
            <w:r>
              <w:rPr>
                <w:rFonts w:hint="eastAsia" w:ascii="宋体" w:hAnsi="宋体" w:cs="宋体"/>
                <w:b/>
                <w:bCs/>
                <w:color w:val="FF0000"/>
                <w:kern w:val="0"/>
                <w:szCs w:val="21"/>
                <w:lang w:bidi="ar"/>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47" w:type="dxa"/>
            <w:vMerge w:val="continue"/>
            <w:noWrap/>
            <w:vAlign w:val="center"/>
          </w:tcPr>
          <w:p/>
        </w:tc>
        <w:tc>
          <w:tcPr>
            <w:tcW w:w="1406" w:type="dxa"/>
            <w:vMerge w:val="continue"/>
            <w:vAlign w:val="center"/>
          </w:tcPr>
          <w:p/>
        </w:tc>
        <w:tc>
          <w:tcPr>
            <w:tcW w:w="6169" w:type="dxa"/>
            <w:vAlign w:val="center"/>
          </w:tcPr>
          <w:p>
            <w:r>
              <w:rPr>
                <w:rFonts w:hint="eastAsia"/>
              </w:rPr>
              <w:t>▲12、</w:t>
            </w:r>
            <w:r>
              <w:rPr>
                <w:rFonts w:hint="eastAsia"/>
                <w:b/>
                <w:bCs/>
                <w:color w:val="FF0000"/>
                <w:lang w:bidi="ar"/>
              </w:rPr>
              <w:t>提供原厂售后服务承诺函</w:t>
            </w:r>
            <w:r>
              <w:rPr>
                <w:rFonts w:hint="eastAsia"/>
                <w:b/>
                <w:bCs/>
                <w:color w:val="FF0000"/>
                <w:lang w:val="en-US" w:eastAsia="zh-CN" w:bidi="ar"/>
              </w:rPr>
              <w:t>扫描件</w:t>
            </w:r>
            <w:r>
              <w:rPr>
                <w:rFonts w:hint="eastAsia"/>
                <w:b/>
                <w:bCs/>
                <w:color w:val="FF0000"/>
                <w:lang w:eastAsia="zh-CN" w:bidi="ar"/>
              </w:rPr>
              <w:t>（</w:t>
            </w:r>
            <w:r>
              <w:rPr>
                <w:rFonts w:hint="eastAsia"/>
                <w:b/>
                <w:bCs/>
                <w:color w:val="FF0000"/>
                <w:lang w:bidi="ar"/>
              </w:rPr>
              <w:t>免费保修期</w:t>
            </w:r>
            <w:r>
              <w:rPr>
                <w:rFonts w:hint="eastAsia"/>
                <w:b/>
                <w:bCs/>
                <w:color w:val="FF0000"/>
                <w:lang w:val="en-US" w:eastAsia="zh-CN" w:bidi="ar"/>
              </w:rPr>
              <w:t>满足商务条款要求</w:t>
            </w:r>
            <w:r>
              <w:rPr>
                <w:rFonts w:hint="eastAsia"/>
                <w:b/>
                <w:bCs/>
                <w:color w:val="FF0000"/>
                <w:lang w:eastAsia="zh-CN" w:bidi="ar"/>
              </w:rPr>
              <w:t>）</w:t>
            </w:r>
            <w:r>
              <w:rPr>
                <w:rFonts w:hint="eastAsia"/>
                <w:b/>
                <w:bCs/>
                <w:color w:val="FF0000"/>
                <w:lang w:bidi="ar"/>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1406" w:type="dxa"/>
            <w:vAlign w:val="center"/>
          </w:tcPr>
          <w:p>
            <w:r>
              <w:rPr>
                <w:rFonts w:hint="eastAsia"/>
              </w:rPr>
              <w:t>4K发送盒</w:t>
            </w:r>
          </w:p>
        </w:tc>
        <w:tc>
          <w:tcPr>
            <w:tcW w:w="6169" w:type="dxa"/>
            <w:vAlign w:val="center"/>
          </w:tcPr>
          <w:p>
            <w:r>
              <w:rPr>
                <w:rFonts w:hint="eastAsia"/>
              </w:rPr>
              <w:t>设备参数同上“4K发送盒”</w:t>
            </w:r>
            <w:r>
              <w:rPr>
                <w:rFonts w:hint="eastAsia"/>
                <w:lang w:eastAsia="zh-CN"/>
              </w:rPr>
              <w:t>（</w:t>
            </w:r>
            <w:r>
              <w:rPr>
                <w:rFonts w:hint="eastAsia"/>
                <w:lang w:val="en-US" w:eastAsia="zh-CN"/>
              </w:rPr>
              <w:t>此处不重复扣分</w:t>
            </w:r>
            <w:r>
              <w:rPr>
                <w:rFonts w:hint="eastAsia"/>
                <w:lang w:eastAsia="zh-CN"/>
              </w:rPr>
              <w:t>）</w:t>
            </w:r>
          </w:p>
        </w:tc>
      </w:tr>
      <w:tr>
        <w:tblPrEx>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1.3</w:t>
            </w:r>
          </w:p>
        </w:tc>
        <w:tc>
          <w:tcPr>
            <w:tcW w:w="1406" w:type="dxa"/>
            <w:vMerge w:val="restart"/>
            <w:vAlign w:val="center"/>
          </w:tcPr>
          <w:p>
            <w:r>
              <w:rPr>
                <w:rFonts w:hint="eastAsia"/>
              </w:rPr>
              <w:t>接收卡</w:t>
            </w:r>
          </w:p>
        </w:tc>
        <w:tc>
          <w:tcPr>
            <w:tcW w:w="6169" w:type="dxa"/>
            <w:vAlign w:val="center"/>
          </w:tcPr>
          <w:p>
            <w:r>
              <w:rPr>
                <w:rFonts w:hint="eastAsia"/>
              </w:rPr>
              <w:t>1、接收卡支持3D功能；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2、支持接收卡预存画面设置，可将指定图片设置为显示屏的开机画面、网线断开或无视频源信号时的画面，确保显示屏无黑屏，画面无缝衔接。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1.4</w:t>
            </w:r>
          </w:p>
        </w:tc>
        <w:tc>
          <w:tcPr>
            <w:tcW w:w="1406" w:type="dxa"/>
            <w:vAlign w:val="center"/>
          </w:tcPr>
          <w:p>
            <w:r>
              <w:rPr>
                <w:rFonts w:hint="eastAsia"/>
              </w:rPr>
              <w:t>LED显示屏控制系统</w:t>
            </w:r>
          </w:p>
        </w:tc>
        <w:tc>
          <w:tcPr>
            <w:tcW w:w="6169" w:type="dxa"/>
            <w:vAlign w:val="center"/>
          </w:tcPr>
          <w:p>
            <w:r>
              <w:rPr>
                <w:rFonts w:hint="eastAsia"/>
              </w:rPr>
              <w:t>设备参数同上“LED显示屏控制系统”</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47" w:type="dxa"/>
            <w:vMerge w:val="restart"/>
            <w:noWrap/>
            <w:vAlign w:val="center"/>
          </w:tcPr>
          <w:p>
            <w:r>
              <w:rPr>
                <w:rFonts w:hint="eastAsia"/>
              </w:rPr>
              <w:t>1.5</w:t>
            </w:r>
          </w:p>
        </w:tc>
        <w:tc>
          <w:tcPr>
            <w:tcW w:w="1406" w:type="dxa"/>
            <w:vMerge w:val="restart"/>
            <w:vAlign w:val="center"/>
          </w:tcPr>
          <w:p>
            <w:r>
              <w:rPr>
                <w:rFonts w:hint="eastAsia"/>
              </w:rPr>
              <w:t>万兆交换机</w:t>
            </w:r>
          </w:p>
        </w:tc>
        <w:tc>
          <w:tcPr>
            <w:tcW w:w="6169" w:type="dxa"/>
            <w:vAlign w:val="center"/>
          </w:tcPr>
          <w:p>
            <w:pPr>
              <w:rPr>
                <w:rFonts w:ascii="宋体" w:hAnsi="宋体" w:cs="宋体"/>
                <w:kern w:val="0"/>
                <w:szCs w:val="21"/>
              </w:rPr>
            </w:pPr>
            <w:r>
              <w:rPr>
                <w:rFonts w:hint="eastAsia"/>
              </w:rPr>
              <w:t>1、交换容量≥1.28Tbps，包转发率≥276Mpps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pPr>
              <w:rPr>
                <w:rFonts w:ascii="宋体" w:hAnsi="宋体" w:cs="宋体"/>
                <w:color w:val="000000"/>
                <w:kern w:val="0"/>
                <w:szCs w:val="21"/>
              </w:rPr>
            </w:pPr>
            <w:r>
              <w:rPr>
                <w:rFonts w:hint="eastAsia"/>
              </w:rPr>
              <w:t>2、持48个千兆电口，4个万兆光口，扩展卡槽位数≥1；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pPr>
              <w:rPr>
                <w:rFonts w:ascii="宋体" w:hAnsi="宋体" w:cs="宋体"/>
                <w:color w:val="000000"/>
                <w:kern w:val="0"/>
                <w:szCs w:val="21"/>
              </w:rPr>
            </w:pPr>
            <w:r>
              <w:rPr>
                <w:rFonts w:hint="eastAsia"/>
              </w:rPr>
              <w:t>3、支持模块化电源，配置电源≥2，支持380V高压直流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pPr>
              <w:rPr>
                <w:rFonts w:ascii="宋体" w:hAnsi="宋体" w:cs="宋体"/>
                <w:color w:val="000000"/>
                <w:kern w:val="0"/>
                <w:szCs w:val="21"/>
              </w:rPr>
            </w:pPr>
            <w:r>
              <w:rPr>
                <w:rFonts w:hint="eastAsia"/>
              </w:rPr>
              <w:t>4、可以通过读取端口指示灯状态获取各种设备重要信息，包括端口/内存/CPU使用状态等，缩短故障时的排错时间，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vAlign w:val="center"/>
          </w:tcPr>
          <w:p/>
        </w:tc>
        <w:tc>
          <w:tcPr>
            <w:tcW w:w="6169" w:type="dxa"/>
            <w:noWrap/>
            <w:vAlign w:val="center"/>
          </w:tcPr>
          <w:p>
            <w:pPr>
              <w:rPr>
                <w:rFonts w:ascii="宋体" w:hAnsi="宋体" w:cs="宋体"/>
                <w:color w:val="000000"/>
                <w:kern w:val="0"/>
                <w:szCs w:val="21"/>
              </w:rPr>
            </w:pPr>
            <w:r>
              <w:t>5</w:t>
            </w:r>
            <w:r>
              <w:rPr>
                <w:rFonts w:hint="eastAsia"/>
              </w:rPr>
              <w:t>、支持4K个VLAN，支持Voice VLAN，基于端口的VLAN，基于协议的VLAN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1.6</w:t>
            </w:r>
          </w:p>
        </w:tc>
        <w:tc>
          <w:tcPr>
            <w:tcW w:w="1406" w:type="dxa"/>
            <w:vAlign w:val="center"/>
          </w:tcPr>
          <w:p>
            <w:r>
              <w:rPr>
                <w:rFonts w:hint="eastAsia"/>
              </w:rPr>
              <w:t>双路4K输入节点</w:t>
            </w:r>
          </w:p>
        </w:tc>
        <w:tc>
          <w:tcPr>
            <w:tcW w:w="6169" w:type="dxa"/>
            <w:noWrap/>
            <w:vAlign w:val="center"/>
          </w:tcPr>
          <w:p>
            <w:r>
              <w:rPr>
                <w:rFonts w:hint="eastAsia"/>
              </w:rPr>
              <w:t>设备参数同上“双路4K输入节点”</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1.7</w:t>
            </w:r>
          </w:p>
        </w:tc>
        <w:tc>
          <w:tcPr>
            <w:tcW w:w="1406" w:type="dxa"/>
            <w:vAlign w:val="center"/>
          </w:tcPr>
          <w:p>
            <w:r>
              <w:rPr>
                <w:rFonts w:hint="eastAsia"/>
              </w:rPr>
              <w:t>双路4K输出节点</w:t>
            </w:r>
          </w:p>
        </w:tc>
        <w:tc>
          <w:tcPr>
            <w:tcW w:w="6169" w:type="dxa"/>
            <w:noWrap/>
            <w:vAlign w:val="center"/>
          </w:tcPr>
          <w:p>
            <w:r>
              <w:rPr>
                <w:rFonts w:hint="eastAsia"/>
              </w:rPr>
              <w:t>设备参数同上“双路4K输出节点”</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1.8</w:t>
            </w:r>
          </w:p>
        </w:tc>
        <w:tc>
          <w:tcPr>
            <w:tcW w:w="1406" w:type="dxa"/>
            <w:vAlign w:val="center"/>
          </w:tcPr>
          <w:p>
            <w:r>
              <w:rPr>
                <w:rFonts w:hint="eastAsia"/>
              </w:rPr>
              <w:t>配电箱</w:t>
            </w:r>
          </w:p>
        </w:tc>
        <w:tc>
          <w:tcPr>
            <w:tcW w:w="6169" w:type="dxa"/>
            <w:vAlign w:val="center"/>
          </w:tcPr>
          <w:p>
            <w:r>
              <w:rPr>
                <w:rFonts w:hint="eastAsia"/>
              </w:rPr>
              <w:t>屏体和设备电源供应及电源管理，≥20KW户内智能配电箱，具有防静电、抗震动、防电磁干扰、抗雷击等功能，具有电源过压、过流、断电保护、分布上电措施，具有实时监控温度、故障报警功能。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1.9</w:t>
            </w:r>
          </w:p>
        </w:tc>
        <w:tc>
          <w:tcPr>
            <w:tcW w:w="1406" w:type="dxa"/>
            <w:vAlign w:val="center"/>
          </w:tcPr>
          <w:p>
            <w:r>
              <w:rPr>
                <w:rFonts w:hint="eastAsia"/>
              </w:rPr>
              <w:t>结构工程</w:t>
            </w:r>
          </w:p>
        </w:tc>
        <w:tc>
          <w:tcPr>
            <w:tcW w:w="6169" w:type="dxa"/>
            <w:vAlign w:val="center"/>
          </w:tcPr>
          <w:p>
            <w:r>
              <w:rPr>
                <w:rFonts w:hint="eastAsia"/>
              </w:rPr>
              <w:t>定制铝型材安装结构，满足整面LED显示屏安装固定需要；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 xml:space="preserve">1.10 </w:t>
            </w:r>
          </w:p>
        </w:tc>
        <w:tc>
          <w:tcPr>
            <w:tcW w:w="1406" w:type="dxa"/>
            <w:vAlign w:val="center"/>
          </w:tcPr>
          <w:p>
            <w:r>
              <w:rPr>
                <w:rFonts w:hint="eastAsia"/>
              </w:rPr>
              <w:t>次电缆</w:t>
            </w:r>
          </w:p>
        </w:tc>
        <w:tc>
          <w:tcPr>
            <w:tcW w:w="6169" w:type="dxa"/>
            <w:vAlign w:val="center"/>
          </w:tcPr>
          <w:p>
            <w:r>
              <w:rPr>
                <w:rFonts w:hint="eastAsia"/>
              </w:rPr>
              <w:t>国标YJV4×16+1×10mm2；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1.11</w:t>
            </w:r>
          </w:p>
        </w:tc>
        <w:tc>
          <w:tcPr>
            <w:tcW w:w="1406" w:type="dxa"/>
            <w:vAlign w:val="center"/>
          </w:tcPr>
          <w:p>
            <w:r>
              <w:rPr>
                <w:rFonts w:hint="eastAsia"/>
              </w:rPr>
              <w:t>电线电缆及其他辅材</w:t>
            </w:r>
          </w:p>
        </w:tc>
        <w:tc>
          <w:tcPr>
            <w:tcW w:w="6169" w:type="dxa"/>
            <w:vAlign w:val="center"/>
          </w:tcPr>
          <w:p>
            <w:r>
              <w:rPr>
                <w:rFonts w:hint="eastAsia"/>
              </w:rPr>
              <w:t>LED电力电缆、信号网络电缆、HDMI/DVI线材等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1.12</w:t>
            </w:r>
          </w:p>
        </w:tc>
        <w:tc>
          <w:tcPr>
            <w:tcW w:w="1406" w:type="dxa"/>
            <w:vMerge w:val="restart"/>
            <w:vAlign w:val="center"/>
          </w:tcPr>
          <w:p>
            <w:r>
              <w:rPr>
                <w:rFonts w:hint="eastAsia"/>
              </w:rPr>
              <w:t>86寸智慧屏一体机</w:t>
            </w:r>
          </w:p>
        </w:tc>
        <w:tc>
          <w:tcPr>
            <w:tcW w:w="6169" w:type="dxa"/>
            <w:vAlign w:val="center"/>
          </w:tcPr>
          <w:p>
            <w:r>
              <w:rPr>
                <w:rFonts w:hint="eastAsia"/>
              </w:rPr>
              <w:t>1.屏幕尺寸≥86"液晶显示屏，面板亮度≥350cd/㎡，可视角度≥178°，自然分辨率≥3840*2160；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2.具备不少于2个HDMI接口、不少于3个USB接口、不少于1个RJ45网口；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3.扬声器：≥10W/8欧×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4.红外触摸、触控点数不低于10点；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5.支持具备白板功能、左右侧拉菜单、隐藏侧拉栏功、反向控制、无线投屏、定时开关机、网络唤醒等功能；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6.采用不低于四核CPU、CPU工作主频不低于1.5GHz、不低于Android 9.0系统、RAM不低于3GB、ROM不低于32GB；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7.具备不低于酷睿I5、8G内存、128G硬盘OPS电脑；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8.配备OPS电脑模块，不低于I5(6核）、内存8G、硬盘128G；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9.配置无线传屏器、全向无线麦、移动支架等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1.13</w:t>
            </w:r>
          </w:p>
        </w:tc>
        <w:tc>
          <w:tcPr>
            <w:tcW w:w="1406" w:type="dxa"/>
            <w:vMerge w:val="restart"/>
            <w:vAlign w:val="center"/>
          </w:tcPr>
          <w:p>
            <w:r>
              <w:rPr>
                <w:rFonts w:hint="eastAsia"/>
              </w:rPr>
              <w:t>专业图形工作站</w:t>
            </w:r>
          </w:p>
        </w:tc>
        <w:tc>
          <w:tcPr>
            <w:tcW w:w="6169" w:type="dxa"/>
            <w:vAlign w:val="center"/>
          </w:tcPr>
          <w:p>
            <w:r>
              <w:rPr>
                <w:rFonts w:hint="eastAsia"/>
              </w:rPr>
              <w:t>1、显卡:≥</w:t>
            </w:r>
            <w:r>
              <w:t>8</w:t>
            </w:r>
            <w:r>
              <w:rPr>
                <w:rFonts w:hint="eastAsia"/>
              </w:rPr>
              <w:t>G；支持</w:t>
            </w:r>
            <w:r>
              <w:t>4</w:t>
            </w:r>
            <w:r>
              <w:rPr>
                <w:rFonts w:hint="eastAsia"/>
              </w:rPr>
              <w:t>K输出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2、CPU ≥</w:t>
            </w:r>
            <w:r>
              <w:t>3.0</w:t>
            </w:r>
            <w:r>
              <w:rPr>
                <w:rFonts w:hint="eastAsia"/>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3、内存：≥</w:t>
            </w:r>
            <w:r>
              <w:t>64</w:t>
            </w:r>
            <w:r>
              <w:rPr>
                <w:rFonts w:hint="eastAsia"/>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4、机械硬盘：≥</w:t>
            </w:r>
            <w:r>
              <w:t>1</w:t>
            </w:r>
            <w:r>
              <w:rPr>
                <w:rFonts w:hint="eastAsia"/>
              </w:rPr>
              <w:t>TB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5、千兆网卡；预装操作系统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6、包含1台≥23.8英寸显示器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vAlign w:val="center"/>
          </w:tcPr>
          <w:p>
            <w:r>
              <w:rPr>
                <w:rFonts w:hint="eastAsia"/>
              </w:rPr>
              <w:t>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w:t>
            </w:r>
          </w:p>
        </w:tc>
        <w:tc>
          <w:tcPr>
            <w:tcW w:w="1406" w:type="dxa"/>
            <w:vMerge w:val="restart"/>
            <w:vAlign w:val="center"/>
          </w:tcPr>
          <w:p>
            <w:r>
              <w:rPr>
                <w:rFonts w:hint="eastAsia"/>
              </w:rPr>
              <w:t>数字调音台</w:t>
            </w:r>
          </w:p>
        </w:tc>
        <w:tc>
          <w:tcPr>
            <w:tcW w:w="6169" w:type="dxa"/>
            <w:vAlign w:val="center"/>
          </w:tcPr>
          <w:p>
            <w:r>
              <w:rPr>
                <w:rFonts w:hint="eastAsia"/>
              </w:rPr>
              <w:t>1.不少于24个XLR麦克风和TRS线路电平输入，麦克风输入支持48V幻象供电；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2.不少于2x2USB音频传输；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3.不少于2路主输出；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4.不少于8个辅助输出，包含8个TRS接口和8个XLR接口；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5.不少于1个耳机输出接口；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6.具有监听输出；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7.不少于2个内部效果器；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8.不少于12组Group编组控制，12组DCA编组控制；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9.可扩展Dante网络音频，支持不少于32x32的Dante卡；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10.具有Auto Mixer自动混音功能；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11.每个输入通道具有噪声门，压缩/限幅器，高低通滤波器，四段参量均衡器，延时器；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12.每个输出通道具有压缩/限幅器，高低通滤波器，四段参量均衡，31段图示均衡器，延时器；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2.2</w:t>
            </w:r>
          </w:p>
        </w:tc>
        <w:tc>
          <w:tcPr>
            <w:tcW w:w="1406" w:type="dxa"/>
            <w:vMerge w:val="restart"/>
            <w:vAlign w:val="center"/>
          </w:tcPr>
          <w:p>
            <w:r>
              <w:rPr>
                <w:rFonts w:hint="eastAsia"/>
              </w:rPr>
              <w:t>音频处理器</w:t>
            </w:r>
          </w:p>
        </w:tc>
        <w:tc>
          <w:tcPr>
            <w:tcW w:w="6169" w:type="dxa"/>
            <w:vAlign w:val="center"/>
          </w:tcPr>
          <w:p>
            <w:r>
              <w:rPr>
                <w:rFonts w:hint="eastAsia"/>
              </w:rPr>
              <w:t>1.不少于4路输入、4路输出平衡接口；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2.支持浏览器方式获取设备控制软件、控制代码等相关资料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3.具有USB录制和播放功能；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4.内置语音摄像跟踪功能,可自定义代码，可控制不少于30台摄像机；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5.支持编组控制功能，联动控制多个物理通道的电平大小；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6.支持自适应回声消除AEC，内置自适应噪声消除ANS;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7.支持自适应反馈消除AFC；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8.支持门限型自动混音和增益分享型自动混音模式，有效抑制扩声系统声反馈，提升系统传声增益；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9.输入每通道功能:前级放大器、扩展器、压缩器、参量均衡器；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10.输出每通道:参量/31段图均衡可选、分频器、延时器、高低通滤波器、限幅器；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11.支持不少于50组场景预设；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shd w:val="clear" w:color="auto" w:fill="auto"/>
            <w:noWrap/>
            <w:vAlign w:val="center"/>
          </w:tcPr>
          <w:p>
            <w:r>
              <w:rPr>
                <w:rFonts w:hint="eastAsia"/>
              </w:rPr>
              <w:t>2.3</w:t>
            </w:r>
          </w:p>
        </w:tc>
        <w:tc>
          <w:tcPr>
            <w:tcW w:w="1406" w:type="dxa"/>
            <w:vMerge w:val="restart"/>
            <w:shd w:val="clear" w:color="auto" w:fill="auto"/>
            <w:vAlign w:val="center"/>
          </w:tcPr>
          <w:p>
            <w:r>
              <w:rPr>
                <w:rFonts w:hint="eastAsia"/>
              </w:rPr>
              <w:t>专业功放</w:t>
            </w:r>
          </w:p>
        </w:tc>
        <w:tc>
          <w:tcPr>
            <w:tcW w:w="6169" w:type="dxa"/>
            <w:shd w:val="clear" w:color="000000" w:fill="FFFFFF"/>
            <w:vAlign w:val="center"/>
          </w:tcPr>
          <w:p>
            <w:r>
              <w:rPr>
                <w:rFonts w:hint="eastAsia"/>
              </w:rPr>
              <w:t>1.采用ClassD技术,转换效率可达90%以上；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2.机身轻、方便携带和安装，高度≤1U；；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3.自动限幅输出、短路、过载、过温、开机延时等保护功能；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4.功放配备延时启动系统,保护音箱不受冲击而损坏；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5.后板配备双通道、单通道、桥接输出转换；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6.平衡输入接口,SPEAKON输出；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7.功放开关电源带有单独的冷却系统；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8.散热风扇采用先进的无级变速电路控制。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9.额定功率不低于:2×350W/8欧,2×550W/4欧；桥接:1×1000W/8欧；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10.频率响应不低于:20Hz-20kHz(±3dB)；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11.总谐波失真(THD):≤0.01%；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2.4</w:t>
            </w:r>
          </w:p>
        </w:tc>
        <w:tc>
          <w:tcPr>
            <w:tcW w:w="1406" w:type="dxa"/>
            <w:vMerge w:val="restart"/>
            <w:vAlign w:val="center"/>
          </w:tcPr>
          <w:p>
            <w:r>
              <w:rPr>
                <w:rFonts w:hint="eastAsia"/>
              </w:rPr>
              <w:t>专业音箱</w:t>
            </w:r>
          </w:p>
        </w:tc>
        <w:tc>
          <w:tcPr>
            <w:tcW w:w="6169" w:type="dxa"/>
            <w:vAlign w:val="center"/>
          </w:tcPr>
          <w:p>
            <w:r>
              <w:rPr>
                <w:rFonts w:hint="eastAsia"/>
              </w:rPr>
              <w:t>1.阻抗:8Ω;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2.频率范围：≥70Hz-20kHz;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3.特性灵敏度：≥93dB/1W/1m;</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4.最大声压级：≥115dB;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5.额定功率：≥250W;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6.覆盖角度：≥H90°×V55°;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7.10"低音×1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8.高音：1.4"压缩高音单元×1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2.5</w:t>
            </w:r>
          </w:p>
        </w:tc>
        <w:tc>
          <w:tcPr>
            <w:tcW w:w="1406" w:type="dxa"/>
            <w:vMerge w:val="restart"/>
            <w:vAlign w:val="center"/>
          </w:tcPr>
          <w:p>
            <w:r>
              <w:rPr>
                <w:rFonts w:hint="eastAsia"/>
              </w:rPr>
              <w:t>支架1</w:t>
            </w:r>
          </w:p>
        </w:tc>
        <w:tc>
          <w:tcPr>
            <w:tcW w:w="6169" w:type="dxa"/>
            <w:noWrap/>
            <w:vAlign w:val="center"/>
          </w:tcPr>
          <w:p>
            <w:r>
              <w:rPr>
                <w:rFonts w:hint="eastAsia"/>
              </w:rPr>
              <w:t>1.固定面板尺寸（长*宽）:227mm*150mm±1mm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2.臂长：280mm至400mm（可调节）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2.6</w:t>
            </w:r>
          </w:p>
        </w:tc>
        <w:tc>
          <w:tcPr>
            <w:tcW w:w="1406" w:type="dxa"/>
            <w:vMerge w:val="restart"/>
            <w:vAlign w:val="center"/>
          </w:tcPr>
          <w:p>
            <w:r>
              <w:rPr>
                <w:rFonts w:hint="eastAsia"/>
              </w:rPr>
              <w:t>支架2</w:t>
            </w:r>
          </w:p>
        </w:tc>
        <w:tc>
          <w:tcPr>
            <w:tcW w:w="6169" w:type="dxa"/>
            <w:noWrap/>
            <w:vAlign w:val="center"/>
          </w:tcPr>
          <w:p>
            <w:r>
              <w:rPr>
                <w:rFonts w:hint="eastAsia"/>
              </w:rPr>
              <w:t>整体伸缩长度：760mm~1260mm（每节增减50mm）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角度调节：170度~370度（每孔位调节10度）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2.7</w:t>
            </w:r>
          </w:p>
        </w:tc>
        <w:tc>
          <w:tcPr>
            <w:tcW w:w="1406" w:type="dxa"/>
            <w:vAlign w:val="center"/>
          </w:tcPr>
          <w:p>
            <w:r>
              <w:rPr>
                <w:rFonts w:hint="eastAsia"/>
              </w:rPr>
              <w:t>无线话筒</w:t>
            </w:r>
          </w:p>
        </w:tc>
        <w:tc>
          <w:tcPr>
            <w:tcW w:w="6169" w:type="dxa"/>
            <w:vAlign w:val="center"/>
          </w:tcPr>
          <w:p>
            <w:r>
              <w:rPr>
                <w:rFonts w:hint="eastAsia"/>
              </w:rPr>
              <w:t>设备参数同上“2.12无线话筒”</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2.8</w:t>
            </w:r>
          </w:p>
        </w:tc>
        <w:tc>
          <w:tcPr>
            <w:tcW w:w="1406" w:type="dxa"/>
            <w:vAlign w:val="center"/>
          </w:tcPr>
          <w:p>
            <w:r>
              <w:rPr>
                <w:rFonts w:hint="eastAsia"/>
              </w:rPr>
              <w:t>话筒天线</w:t>
            </w:r>
          </w:p>
        </w:tc>
        <w:tc>
          <w:tcPr>
            <w:tcW w:w="6169" w:type="dxa"/>
            <w:vAlign w:val="center"/>
          </w:tcPr>
          <w:p>
            <w:r>
              <w:rPr>
                <w:rFonts w:hint="eastAsia"/>
              </w:rPr>
              <w:t>设备参数同上“话筒天线”</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2.9</w:t>
            </w:r>
          </w:p>
        </w:tc>
        <w:tc>
          <w:tcPr>
            <w:tcW w:w="1406" w:type="dxa"/>
            <w:vAlign w:val="center"/>
          </w:tcPr>
          <w:p>
            <w:r>
              <w:rPr>
                <w:rFonts w:hint="eastAsia"/>
              </w:rPr>
              <w:t>配套网络机柜</w:t>
            </w:r>
          </w:p>
        </w:tc>
        <w:tc>
          <w:tcPr>
            <w:tcW w:w="6169" w:type="dxa"/>
            <w:vAlign w:val="center"/>
          </w:tcPr>
          <w:p>
            <w:r>
              <w:rPr>
                <w:rFonts w:hint="eastAsia"/>
              </w:rPr>
              <w:t>2000*600*600mm，42U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 xml:space="preserve">2.10 </w:t>
            </w:r>
          </w:p>
        </w:tc>
        <w:tc>
          <w:tcPr>
            <w:tcW w:w="1406" w:type="dxa"/>
            <w:vAlign w:val="center"/>
          </w:tcPr>
          <w:p>
            <w:r>
              <w:rPr>
                <w:rFonts w:hint="eastAsia"/>
              </w:rPr>
              <w:t>天线延长线</w:t>
            </w:r>
          </w:p>
        </w:tc>
        <w:tc>
          <w:tcPr>
            <w:tcW w:w="6169" w:type="dxa"/>
            <w:vAlign w:val="center"/>
          </w:tcPr>
          <w:p>
            <w:r>
              <w:rPr>
                <w:rFonts w:hint="eastAsia"/>
              </w:rPr>
              <w:t>30米，用于延长有源天线到分配器的距离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vAlign w:val="center"/>
          </w:tcPr>
          <w:p>
            <w:r>
              <w:rPr>
                <w:rFonts w:hint="eastAsia"/>
              </w:rPr>
              <w:t>远程视频会议终端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w:t>
            </w:r>
          </w:p>
        </w:tc>
        <w:tc>
          <w:tcPr>
            <w:tcW w:w="1406" w:type="dxa"/>
            <w:vAlign w:val="center"/>
          </w:tcPr>
          <w:p>
            <w:r>
              <w:rPr>
                <w:rFonts w:hint="eastAsia"/>
              </w:rPr>
              <w:t>高清会议终端</w:t>
            </w:r>
          </w:p>
        </w:tc>
        <w:tc>
          <w:tcPr>
            <w:tcW w:w="6169" w:type="dxa"/>
            <w:noWrap/>
            <w:vAlign w:val="center"/>
          </w:tcPr>
          <w:p>
            <w:r>
              <w:rPr>
                <w:rFonts w:hint="eastAsia"/>
              </w:rPr>
              <w:t>设备参数同上“高清会议终端”</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3.2</w:t>
            </w:r>
          </w:p>
        </w:tc>
        <w:tc>
          <w:tcPr>
            <w:tcW w:w="1406" w:type="dxa"/>
            <w:vMerge w:val="restart"/>
            <w:vAlign w:val="center"/>
          </w:tcPr>
          <w:p>
            <w:r>
              <w:rPr>
                <w:rFonts w:hint="eastAsia"/>
              </w:rPr>
              <w:t>高清一体摄像机</w:t>
            </w:r>
          </w:p>
        </w:tc>
        <w:tc>
          <w:tcPr>
            <w:tcW w:w="6169" w:type="dxa"/>
            <w:vAlign w:val="center"/>
          </w:tcPr>
          <w:p>
            <w:r>
              <w:rPr>
                <w:rFonts w:hint="eastAsia"/>
              </w:rPr>
              <w:t>1、采用不小于1/2.5" HD CMOS镜头，不低于850万有效像素，与会议终端同品牌。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2、支持不小于12倍光学变焦，支持不小于16倍数字变焦。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3、支持HDMI和HDBaseT接口。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4、云台转角：水平不小于±150°。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5、水平视角不小于70°。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3.3</w:t>
            </w:r>
          </w:p>
        </w:tc>
        <w:tc>
          <w:tcPr>
            <w:tcW w:w="1406" w:type="dxa"/>
            <w:vAlign w:val="center"/>
          </w:tcPr>
          <w:p>
            <w:r>
              <w:rPr>
                <w:rFonts w:hint="eastAsia"/>
              </w:rPr>
              <w:t>阵列麦克风</w:t>
            </w:r>
          </w:p>
        </w:tc>
        <w:tc>
          <w:tcPr>
            <w:tcW w:w="6169" w:type="dxa"/>
            <w:vAlign w:val="center"/>
          </w:tcPr>
          <w:p>
            <w:r>
              <w:rPr>
                <w:rFonts w:hint="eastAsia"/>
              </w:rPr>
              <w:t>设备参数同上“阵列麦克风”</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3.4</w:t>
            </w:r>
          </w:p>
        </w:tc>
        <w:tc>
          <w:tcPr>
            <w:tcW w:w="1406" w:type="dxa"/>
            <w:vAlign w:val="center"/>
          </w:tcPr>
          <w:p>
            <w:r>
              <w:rPr>
                <w:rFonts w:hint="eastAsia"/>
              </w:rPr>
              <w:t>高清电视</w:t>
            </w:r>
          </w:p>
        </w:tc>
        <w:tc>
          <w:tcPr>
            <w:tcW w:w="6169" w:type="dxa"/>
            <w:vAlign w:val="center"/>
          </w:tcPr>
          <w:p>
            <w:r>
              <w:rPr>
                <w:rFonts w:hint="eastAsia"/>
              </w:rPr>
              <w:t>≥65英寸高清电视，分辨率不低于3840*2160；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3.5</w:t>
            </w:r>
          </w:p>
        </w:tc>
        <w:tc>
          <w:tcPr>
            <w:tcW w:w="1406" w:type="dxa"/>
            <w:vAlign w:val="center"/>
          </w:tcPr>
          <w:p>
            <w:r>
              <w:rPr>
                <w:rFonts w:hint="eastAsia"/>
              </w:rPr>
              <w:t>视频会议配套支架</w:t>
            </w:r>
          </w:p>
        </w:tc>
        <w:tc>
          <w:tcPr>
            <w:tcW w:w="6169" w:type="dxa"/>
            <w:vAlign w:val="center"/>
          </w:tcPr>
          <w:p>
            <w:r>
              <w:rPr>
                <w:rFonts w:hint="eastAsia"/>
              </w:rPr>
              <w:t>视频会议摄像机配套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3.6</w:t>
            </w:r>
          </w:p>
        </w:tc>
        <w:tc>
          <w:tcPr>
            <w:tcW w:w="1406" w:type="dxa"/>
            <w:vAlign w:val="center"/>
          </w:tcPr>
          <w:p>
            <w:r>
              <w:rPr>
                <w:rFonts w:hint="eastAsia"/>
              </w:rPr>
              <w:t>线材及其他</w:t>
            </w:r>
          </w:p>
        </w:tc>
        <w:tc>
          <w:tcPr>
            <w:tcW w:w="6169" w:type="dxa"/>
            <w:vAlign w:val="center"/>
          </w:tcPr>
          <w:p>
            <w:r>
              <w:rPr>
                <w:rFonts w:hint="eastAsia"/>
              </w:rPr>
              <w:t>网络线材及辅材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vAlign w:val="center"/>
          </w:tcPr>
          <w:p>
            <w:r>
              <w:rPr>
                <w:rFonts w:hint="eastAsia"/>
              </w:rPr>
              <w:t>数字会议发言系统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vAlign w:val="center"/>
          </w:tcPr>
          <w:p>
            <w:r>
              <w:rPr>
                <w:rFonts w:hint="eastAsia"/>
              </w:rPr>
              <w:t>会议系统主机</w:t>
            </w:r>
          </w:p>
        </w:tc>
        <w:tc>
          <w:tcPr>
            <w:tcW w:w="6169" w:type="dxa"/>
            <w:noWrap/>
            <w:vAlign w:val="center"/>
          </w:tcPr>
          <w:p>
            <w:r>
              <w:rPr>
                <w:rFonts w:hint="eastAsia"/>
              </w:rPr>
              <w:t>参数同上“会议系统主机”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vAlign w:val="center"/>
          </w:tcPr>
          <w:p>
            <w:r>
              <w:rPr>
                <w:rFonts w:hint="eastAsia"/>
              </w:rPr>
              <w:t>会议主席单元</w:t>
            </w:r>
          </w:p>
        </w:tc>
        <w:tc>
          <w:tcPr>
            <w:tcW w:w="6169" w:type="dxa"/>
            <w:noWrap/>
            <w:vAlign w:val="center"/>
          </w:tcPr>
          <w:p>
            <w:r>
              <w:rPr>
                <w:rFonts w:hint="eastAsia"/>
              </w:rPr>
              <w:t>参数同上“会议主席单元”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4.3</w:t>
            </w:r>
          </w:p>
        </w:tc>
        <w:tc>
          <w:tcPr>
            <w:tcW w:w="1406" w:type="dxa"/>
            <w:vAlign w:val="center"/>
          </w:tcPr>
          <w:p>
            <w:r>
              <w:rPr>
                <w:rFonts w:hint="eastAsia"/>
              </w:rPr>
              <w:t>会议代表单元</w:t>
            </w:r>
          </w:p>
        </w:tc>
        <w:tc>
          <w:tcPr>
            <w:tcW w:w="6169" w:type="dxa"/>
            <w:noWrap/>
            <w:vAlign w:val="center"/>
          </w:tcPr>
          <w:p>
            <w:r>
              <w:rPr>
                <w:rFonts w:hint="eastAsia"/>
              </w:rPr>
              <w:t>参数同上“会议代表单元”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4.4</w:t>
            </w:r>
          </w:p>
        </w:tc>
        <w:tc>
          <w:tcPr>
            <w:tcW w:w="1406" w:type="dxa"/>
            <w:vAlign w:val="center"/>
          </w:tcPr>
          <w:p>
            <w:r>
              <w:rPr>
                <w:rFonts w:hint="eastAsia"/>
              </w:rPr>
              <w:t>手拉手会议代表控制内嵌软件</w:t>
            </w:r>
          </w:p>
        </w:tc>
        <w:tc>
          <w:tcPr>
            <w:tcW w:w="6169" w:type="dxa"/>
            <w:vAlign w:val="center"/>
          </w:tcPr>
          <w:p>
            <w:r>
              <w:rPr>
                <w:rFonts w:hint="eastAsia"/>
              </w:rPr>
              <w:t>应用于实现会议系统话筒单元的发言及管理，支持手拉手模式扩展连接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4.5</w:t>
            </w:r>
          </w:p>
        </w:tc>
        <w:tc>
          <w:tcPr>
            <w:tcW w:w="1406" w:type="dxa"/>
            <w:vAlign w:val="center"/>
          </w:tcPr>
          <w:p>
            <w:r>
              <w:rPr>
                <w:rFonts w:hint="eastAsia"/>
              </w:rPr>
              <w:t>无线接入点和收发器</w:t>
            </w:r>
          </w:p>
        </w:tc>
        <w:tc>
          <w:tcPr>
            <w:tcW w:w="6169" w:type="dxa"/>
            <w:vAlign w:val="center"/>
          </w:tcPr>
          <w:p>
            <w:r>
              <w:rPr>
                <w:rFonts w:hint="eastAsia"/>
              </w:rPr>
              <w:t>设备参数同上“无线接入点和收发器”</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4.6</w:t>
            </w:r>
          </w:p>
        </w:tc>
        <w:tc>
          <w:tcPr>
            <w:tcW w:w="1406" w:type="dxa"/>
            <w:vAlign w:val="center"/>
          </w:tcPr>
          <w:p>
            <w:r>
              <w:rPr>
                <w:rFonts w:hint="eastAsia"/>
              </w:rPr>
              <w:t>耗材及其他</w:t>
            </w:r>
          </w:p>
        </w:tc>
        <w:tc>
          <w:tcPr>
            <w:tcW w:w="6169" w:type="dxa"/>
            <w:noWrap/>
            <w:vAlign w:val="center"/>
          </w:tcPr>
          <w:p>
            <w:r>
              <w:rPr>
                <w:rFonts w:hint="eastAsia"/>
              </w:rPr>
              <w:t>音频线材及辅材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7575" w:type="dxa"/>
            <w:gridSpan w:val="2"/>
            <w:vAlign w:val="center"/>
          </w:tcPr>
          <w:p>
            <w:r>
              <w:rPr>
                <w:rFonts w:hint="eastAsia"/>
              </w:rPr>
              <w:t>会议桌椅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5.1</w:t>
            </w:r>
          </w:p>
        </w:tc>
        <w:tc>
          <w:tcPr>
            <w:tcW w:w="1406" w:type="dxa"/>
            <w:vMerge w:val="restart"/>
            <w:vAlign w:val="center"/>
          </w:tcPr>
          <w:p>
            <w:r>
              <w:rPr>
                <w:rFonts w:hint="eastAsia"/>
              </w:rPr>
              <w:t>24人定制会议桌</w:t>
            </w:r>
          </w:p>
        </w:tc>
        <w:tc>
          <w:tcPr>
            <w:tcW w:w="6169" w:type="dxa"/>
            <w:vAlign w:val="center"/>
          </w:tcPr>
          <w:p>
            <w:r>
              <w:rPr>
                <w:rFonts w:hint="eastAsia"/>
              </w:rPr>
              <w:t>尺寸：长8000mm x 宽2000mm x 高750mm（或可定制）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材质：实木/人造板材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颜色：深色木纹或浅色木纹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长方形桌面，中间可加装线槽，便于接入电源和网络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5.2</w:t>
            </w:r>
          </w:p>
        </w:tc>
        <w:tc>
          <w:tcPr>
            <w:tcW w:w="1406" w:type="dxa"/>
            <w:vAlign w:val="center"/>
          </w:tcPr>
          <w:p>
            <w:r>
              <w:rPr>
                <w:rFonts w:hint="eastAsia"/>
              </w:rPr>
              <w:t>会议椅子</w:t>
            </w:r>
          </w:p>
        </w:tc>
        <w:tc>
          <w:tcPr>
            <w:tcW w:w="6169" w:type="dxa"/>
            <w:vAlign w:val="center"/>
          </w:tcPr>
          <w:p>
            <w:r>
              <w:rPr>
                <w:rFonts w:hint="eastAsia"/>
              </w:rPr>
              <w:t>人体工学办公椅,靠背最大角度：120-155度; 气压升降、升降扶手；带滚轮，调节式头枕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三</w:t>
            </w:r>
          </w:p>
        </w:tc>
        <w:tc>
          <w:tcPr>
            <w:tcW w:w="7575" w:type="dxa"/>
            <w:gridSpan w:val="2"/>
            <w:vAlign w:val="center"/>
          </w:tcPr>
          <w:p>
            <w:r>
              <w:rPr>
                <w:rFonts w:hint="eastAsia"/>
              </w:rPr>
              <w:t>研判室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1406" w:type="dxa"/>
            <w:vAlign w:val="center"/>
          </w:tcPr>
          <w:p>
            <w:r>
              <w:rPr>
                <w:rFonts w:hint="eastAsia"/>
              </w:rPr>
              <w:t>86寸智慧屏一体机</w:t>
            </w:r>
          </w:p>
        </w:tc>
        <w:tc>
          <w:tcPr>
            <w:tcW w:w="6169" w:type="dxa"/>
            <w:vAlign w:val="center"/>
          </w:tcPr>
          <w:p>
            <w:r>
              <w:rPr>
                <w:rFonts w:hint="eastAsia"/>
              </w:rPr>
              <w:t>参数同上“86寸智慧屏一体机”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1406" w:type="dxa"/>
            <w:vAlign w:val="center"/>
          </w:tcPr>
          <w:p>
            <w:r>
              <w:rPr>
                <w:rFonts w:hint="eastAsia"/>
              </w:rPr>
              <w:t>双路4K输入节点</w:t>
            </w:r>
          </w:p>
        </w:tc>
        <w:tc>
          <w:tcPr>
            <w:tcW w:w="6169" w:type="dxa"/>
            <w:vAlign w:val="center"/>
          </w:tcPr>
          <w:p>
            <w:r>
              <w:rPr>
                <w:rFonts w:hint="eastAsia"/>
              </w:rPr>
              <w:t>参数同上“双路4K输入节点”</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1406" w:type="dxa"/>
            <w:vAlign w:val="center"/>
          </w:tcPr>
          <w:p>
            <w:r>
              <w:rPr>
                <w:rFonts w:hint="eastAsia"/>
              </w:rPr>
              <w:t>双路4K输出节点</w:t>
            </w:r>
          </w:p>
        </w:tc>
        <w:tc>
          <w:tcPr>
            <w:tcW w:w="6169" w:type="dxa"/>
            <w:noWrap/>
            <w:vAlign w:val="center"/>
          </w:tcPr>
          <w:p>
            <w:r>
              <w:rPr>
                <w:rFonts w:hint="eastAsia"/>
              </w:rPr>
              <w:t>参数同上“双路4K输出节点”</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w:t>
            </w:r>
          </w:p>
        </w:tc>
        <w:tc>
          <w:tcPr>
            <w:tcW w:w="1406" w:type="dxa"/>
            <w:vMerge w:val="restart"/>
            <w:vAlign w:val="center"/>
          </w:tcPr>
          <w:p>
            <w:r>
              <w:rPr>
                <w:rFonts w:hint="eastAsia"/>
              </w:rPr>
              <w:t>音频处理器</w:t>
            </w:r>
          </w:p>
        </w:tc>
        <w:tc>
          <w:tcPr>
            <w:tcW w:w="6169" w:type="dxa"/>
            <w:vAlign w:val="center"/>
          </w:tcPr>
          <w:p>
            <w:r>
              <w:rPr>
                <w:rFonts w:hint="eastAsia"/>
              </w:rPr>
              <w:t>1.不少于4路输入、4路输出平衡接口；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2.支持浏览器方式获取设备控制软件、控制代码等相关资料；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3.具有USB录制和播放功能；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4.内置语音摄像跟踪功能,可自定义代码，可控制不少于30台摄像机；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5.支持编组控制功能，联动控制多个物理通道的电平大小；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6.支持自适应回声消除AEC，内置自适应噪声消除ANS;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7.支持自适应反馈消除AFC；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8.支持门限型自动混音和增益分享型自动混音模式，有效抑制扩声系统声反馈，提升系统传声增益；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9.输入每通道功能:前级放大器、扩展器、压缩器、参量均衡器；</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10.输出每通道:参量/31段图均衡可选、分频器、延时器、高低通滤波器、限幅器；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11.支持不少于50组场景预设；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shd w:val="clear" w:color="auto" w:fill="auto"/>
            <w:noWrap/>
            <w:vAlign w:val="center"/>
          </w:tcPr>
          <w:p>
            <w:r>
              <w:rPr>
                <w:rFonts w:hint="eastAsia"/>
              </w:rPr>
              <w:t>5</w:t>
            </w:r>
          </w:p>
        </w:tc>
        <w:tc>
          <w:tcPr>
            <w:tcW w:w="1406" w:type="dxa"/>
            <w:vMerge w:val="restart"/>
            <w:shd w:val="clear" w:color="auto" w:fill="auto"/>
            <w:vAlign w:val="center"/>
          </w:tcPr>
          <w:p>
            <w:r>
              <w:rPr>
                <w:rFonts w:hint="eastAsia"/>
              </w:rPr>
              <w:t>专业功放</w:t>
            </w:r>
          </w:p>
        </w:tc>
        <w:tc>
          <w:tcPr>
            <w:tcW w:w="6169" w:type="dxa"/>
            <w:shd w:val="clear" w:color="000000" w:fill="FFFFFF"/>
            <w:vAlign w:val="center"/>
          </w:tcPr>
          <w:p>
            <w:r>
              <w:rPr>
                <w:rFonts w:hint="eastAsia"/>
              </w:rPr>
              <w:t>1.采用ClassD技术,转换效率可达90%以上；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2.机身轻、方便携带和安装，高度≤1U；；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3.自动限幅输出、短路、过载、过温、开机延时等保护功能；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4.功放配备延时启动系统,保护音箱不受冲击而损坏；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5.后板配备双通道、单通道、桥接输出转换；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6.平衡输入接口,SPEAKON输出；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7.功放开关电源带有单独的冷却系统；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8.散热风扇采用无级变速电路控制。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shd w:val="clear" w:color="auto" w:fill="auto"/>
            <w:vAlign w:val="center"/>
          </w:tcPr>
          <w:p/>
        </w:tc>
        <w:tc>
          <w:tcPr>
            <w:tcW w:w="1406" w:type="dxa"/>
            <w:vMerge w:val="continue"/>
            <w:shd w:val="clear" w:color="auto" w:fill="auto"/>
            <w:vAlign w:val="center"/>
          </w:tcPr>
          <w:p/>
        </w:tc>
        <w:tc>
          <w:tcPr>
            <w:tcW w:w="6169" w:type="dxa"/>
            <w:shd w:val="clear" w:color="000000" w:fill="FFFFFF"/>
            <w:vAlign w:val="center"/>
          </w:tcPr>
          <w:p>
            <w:r>
              <w:rPr>
                <w:rFonts w:hint="eastAsia"/>
              </w:rPr>
              <w:t>9.额定功率不低于:2×350W/8欧,2×550W/4欧；桥接:1×1000W/8欧；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10.频率响应不低于:20Hz-20kHz(±3dB)；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11.总谐波失真(THD):≤0.01%；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6</w:t>
            </w:r>
          </w:p>
        </w:tc>
        <w:tc>
          <w:tcPr>
            <w:tcW w:w="1406" w:type="dxa"/>
            <w:vMerge w:val="restart"/>
            <w:vAlign w:val="center"/>
          </w:tcPr>
          <w:p>
            <w:r>
              <w:rPr>
                <w:rFonts w:hint="eastAsia"/>
              </w:rPr>
              <w:t>专业音箱</w:t>
            </w:r>
          </w:p>
        </w:tc>
        <w:tc>
          <w:tcPr>
            <w:tcW w:w="6169" w:type="dxa"/>
            <w:vAlign w:val="center"/>
          </w:tcPr>
          <w:p>
            <w:r>
              <w:rPr>
                <w:rFonts w:hint="eastAsia"/>
              </w:rPr>
              <w:t>1.阻抗:8Ω;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2.频率范围：≥70Hz-20kHz;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3.特性灵敏度：≥93dB/1W/1m;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4.最大声压级：≥115dB;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5.额定功率：≥250W;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6.覆盖角度：≥H90°×V55°;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7.10"低音×1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8.高音：1.4"压缩高音单元×1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7</w:t>
            </w:r>
          </w:p>
        </w:tc>
        <w:tc>
          <w:tcPr>
            <w:tcW w:w="1406" w:type="dxa"/>
            <w:vAlign w:val="center"/>
          </w:tcPr>
          <w:p>
            <w:r>
              <w:rPr>
                <w:rFonts w:hint="eastAsia"/>
              </w:rPr>
              <w:t>支架</w:t>
            </w:r>
          </w:p>
        </w:tc>
        <w:tc>
          <w:tcPr>
            <w:tcW w:w="6169" w:type="dxa"/>
            <w:noWrap/>
            <w:vAlign w:val="center"/>
          </w:tcPr>
          <w:p>
            <w:r>
              <w:rPr>
                <w:rFonts w:hint="eastAsia"/>
              </w:rPr>
              <w:t>1.臂长：280mm至400mm（可调节）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8</w:t>
            </w:r>
          </w:p>
        </w:tc>
        <w:tc>
          <w:tcPr>
            <w:tcW w:w="1406" w:type="dxa"/>
            <w:vAlign w:val="center"/>
          </w:tcPr>
          <w:p>
            <w:r>
              <w:rPr>
                <w:rFonts w:hint="eastAsia"/>
              </w:rPr>
              <w:t>无线话筒</w:t>
            </w:r>
          </w:p>
        </w:tc>
        <w:tc>
          <w:tcPr>
            <w:tcW w:w="6169" w:type="dxa"/>
            <w:noWrap/>
            <w:vAlign w:val="center"/>
          </w:tcPr>
          <w:p>
            <w:r>
              <w:rPr>
                <w:rFonts w:hint="eastAsia"/>
              </w:rPr>
              <w:t>参数同上“2.12无线话筒”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9</w:t>
            </w:r>
          </w:p>
        </w:tc>
        <w:tc>
          <w:tcPr>
            <w:tcW w:w="1406" w:type="dxa"/>
            <w:vAlign w:val="center"/>
          </w:tcPr>
          <w:p>
            <w:r>
              <w:rPr>
                <w:rFonts w:hint="eastAsia"/>
              </w:rPr>
              <w:t>话筒天线</w:t>
            </w:r>
          </w:p>
        </w:tc>
        <w:tc>
          <w:tcPr>
            <w:tcW w:w="6169" w:type="dxa"/>
            <w:vAlign w:val="center"/>
          </w:tcPr>
          <w:p>
            <w:r>
              <w:rPr>
                <w:rFonts w:hint="eastAsia"/>
              </w:rPr>
              <w:t>设备参数同上“话筒天线”</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10</w:t>
            </w:r>
          </w:p>
        </w:tc>
        <w:tc>
          <w:tcPr>
            <w:tcW w:w="1406" w:type="dxa"/>
            <w:vAlign w:val="center"/>
          </w:tcPr>
          <w:p>
            <w:r>
              <w:rPr>
                <w:rFonts w:hint="eastAsia"/>
              </w:rPr>
              <w:t>配套网络机柜</w:t>
            </w:r>
          </w:p>
        </w:tc>
        <w:tc>
          <w:tcPr>
            <w:tcW w:w="6169" w:type="dxa"/>
            <w:noWrap/>
            <w:vAlign w:val="center"/>
          </w:tcPr>
          <w:p>
            <w:r>
              <w:rPr>
                <w:rFonts w:hint="eastAsia"/>
              </w:rPr>
              <w:t>2000*600*600mm，42U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11</w:t>
            </w:r>
          </w:p>
        </w:tc>
        <w:tc>
          <w:tcPr>
            <w:tcW w:w="1406" w:type="dxa"/>
            <w:vAlign w:val="center"/>
          </w:tcPr>
          <w:p>
            <w:r>
              <w:rPr>
                <w:rFonts w:hint="eastAsia"/>
              </w:rPr>
              <w:t>高清会议终端</w:t>
            </w:r>
          </w:p>
        </w:tc>
        <w:tc>
          <w:tcPr>
            <w:tcW w:w="6169" w:type="dxa"/>
            <w:noWrap/>
            <w:vAlign w:val="center"/>
          </w:tcPr>
          <w:p>
            <w:r>
              <w:rPr>
                <w:rFonts w:hint="eastAsia"/>
              </w:rPr>
              <w:t>设备参数同上“高清会议终端”</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1406" w:type="dxa"/>
            <w:vAlign w:val="center"/>
          </w:tcPr>
          <w:p>
            <w:r>
              <w:rPr>
                <w:rFonts w:hint="eastAsia"/>
              </w:rPr>
              <w:t>高清一体摄像机</w:t>
            </w:r>
          </w:p>
        </w:tc>
        <w:tc>
          <w:tcPr>
            <w:tcW w:w="6169" w:type="dxa"/>
            <w:noWrap/>
            <w:vAlign w:val="center"/>
          </w:tcPr>
          <w:p>
            <w:r>
              <w:rPr>
                <w:rFonts w:hint="eastAsia"/>
              </w:rPr>
              <w:t>设备参数同上“高清一体摄像机”。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13</w:t>
            </w:r>
          </w:p>
        </w:tc>
        <w:tc>
          <w:tcPr>
            <w:tcW w:w="1406" w:type="dxa"/>
            <w:vAlign w:val="center"/>
          </w:tcPr>
          <w:p>
            <w:r>
              <w:rPr>
                <w:rFonts w:hint="eastAsia"/>
              </w:rPr>
              <w:t>阵列麦克风</w:t>
            </w:r>
          </w:p>
        </w:tc>
        <w:tc>
          <w:tcPr>
            <w:tcW w:w="6169" w:type="dxa"/>
            <w:noWrap/>
            <w:vAlign w:val="center"/>
          </w:tcPr>
          <w:p>
            <w:r>
              <w:rPr>
                <w:rFonts w:hint="eastAsia"/>
              </w:rPr>
              <w:t>设备参数同上“阵列麦克风”</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14</w:t>
            </w:r>
          </w:p>
        </w:tc>
        <w:tc>
          <w:tcPr>
            <w:tcW w:w="1406" w:type="dxa"/>
            <w:vAlign w:val="center"/>
          </w:tcPr>
          <w:p>
            <w:r>
              <w:rPr>
                <w:rFonts w:hint="eastAsia"/>
              </w:rPr>
              <w:t>会议系统主机</w:t>
            </w:r>
          </w:p>
        </w:tc>
        <w:tc>
          <w:tcPr>
            <w:tcW w:w="6169" w:type="dxa"/>
            <w:noWrap/>
            <w:vAlign w:val="center"/>
          </w:tcPr>
          <w:p>
            <w:r>
              <w:rPr>
                <w:rFonts w:hint="eastAsia"/>
              </w:rPr>
              <w:t>设备参数同上“系统会议主机”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15</w:t>
            </w:r>
          </w:p>
        </w:tc>
        <w:tc>
          <w:tcPr>
            <w:tcW w:w="1406" w:type="dxa"/>
            <w:vAlign w:val="center"/>
          </w:tcPr>
          <w:p>
            <w:r>
              <w:rPr>
                <w:rFonts w:hint="eastAsia"/>
              </w:rPr>
              <w:t>会议主席单元</w:t>
            </w:r>
          </w:p>
        </w:tc>
        <w:tc>
          <w:tcPr>
            <w:tcW w:w="6169" w:type="dxa"/>
            <w:vAlign w:val="center"/>
          </w:tcPr>
          <w:p>
            <w:r>
              <w:rPr>
                <w:rFonts w:hint="eastAsia"/>
              </w:rPr>
              <w:t>设备参数同上“会议主席单元”</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16</w:t>
            </w:r>
          </w:p>
        </w:tc>
        <w:tc>
          <w:tcPr>
            <w:tcW w:w="1406" w:type="dxa"/>
            <w:vAlign w:val="center"/>
          </w:tcPr>
          <w:p>
            <w:r>
              <w:rPr>
                <w:rFonts w:hint="eastAsia"/>
              </w:rPr>
              <w:t>会议代表单元</w:t>
            </w:r>
          </w:p>
        </w:tc>
        <w:tc>
          <w:tcPr>
            <w:tcW w:w="6169" w:type="dxa"/>
            <w:vAlign w:val="center"/>
          </w:tcPr>
          <w:p>
            <w:r>
              <w:rPr>
                <w:rFonts w:hint="eastAsia"/>
              </w:rPr>
              <w:t>设备参数同上“会议代表单元”</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17</w:t>
            </w:r>
          </w:p>
        </w:tc>
        <w:tc>
          <w:tcPr>
            <w:tcW w:w="1406" w:type="dxa"/>
            <w:vAlign w:val="center"/>
          </w:tcPr>
          <w:p>
            <w:r>
              <w:rPr>
                <w:rFonts w:hint="eastAsia"/>
              </w:rPr>
              <w:t>手拉手会议代表控制内嵌软件</w:t>
            </w:r>
          </w:p>
        </w:tc>
        <w:tc>
          <w:tcPr>
            <w:tcW w:w="6169" w:type="dxa"/>
            <w:noWrap/>
            <w:vAlign w:val="center"/>
          </w:tcPr>
          <w:p>
            <w:r>
              <w:rPr>
                <w:rFonts w:hint="eastAsia"/>
              </w:rPr>
              <w:t>设备参数同上“手拉手会议代表控制内嵌软件”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18</w:t>
            </w:r>
          </w:p>
        </w:tc>
        <w:tc>
          <w:tcPr>
            <w:tcW w:w="1406" w:type="dxa"/>
            <w:vAlign w:val="center"/>
          </w:tcPr>
          <w:p>
            <w:r>
              <w:rPr>
                <w:rFonts w:hint="eastAsia"/>
              </w:rPr>
              <w:t>无线接入点和收发器</w:t>
            </w:r>
          </w:p>
        </w:tc>
        <w:tc>
          <w:tcPr>
            <w:tcW w:w="6169" w:type="dxa"/>
            <w:noWrap/>
            <w:vAlign w:val="center"/>
          </w:tcPr>
          <w:p>
            <w:r>
              <w:rPr>
                <w:rFonts w:hint="eastAsia"/>
              </w:rPr>
              <w:t>设备参数同上“无线接入点和收发器”</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19</w:t>
            </w:r>
          </w:p>
        </w:tc>
        <w:tc>
          <w:tcPr>
            <w:tcW w:w="1406" w:type="dxa"/>
            <w:vMerge w:val="restart"/>
            <w:vAlign w:val="center"/>
          </w:tcPr>
          <w:p>
            <w:r>
              <w:rPr>
                <w:rFonts w:hint="eastAsia"/>
              </w:rPr>
              <w:t>12人定制会议桌</w:t>
            </w:r>
          </w:p>
        </w:tc>
        <w:tc>
          <w:tcPr>
            <w:tcW w:w="6169" w:type="dxa"/>
            <w:vAlign w:val="center"/>
          </w:tcPr>
          <w:p>
            <w:r>
              <w:rPr>
                <w:rFonts w:hint="eastAsia"/>
              </w:rPr>
              <w:t>尺寸：长4500mm x 宽2000mm x 高750mm（或可定制）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材质：优质实木/人造板材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颜色：深色木纹或浅色木纹</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设计：长方形桌面，中间可加装线槽，便于接入电源和网络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20</w:t>
            </w:r>
          </w:p>
        </w:tc>
        <w:tc>
          <w:tcPr>
            <w:tcW w:w="1406" w:type="dxa"/>
            <w:vAlign w:val="center"/>
          </w:tcPr>
          <w:p>
            <w:r>
              <w:rPr>
                <w:rFonts w:hint="eastAsia"/>
              </w:rPr>
              <w:t>会议椅子</w:t>
            </w:r>
          </w:p>
        </w:tc>
        <w:tc>
          <w:tcPr>
            <w:tcW w:w="6169" w:type="dxa"/>
            <w:vAlign w:val="center"/>
          </w:tcPr>
          <w:p>
            <w:r>
              <w:rPr>
                <w:rFonts w:hint="eastAsia"/>
              </w:rPr>
              <w:t>人体工学办公椅,靠背最大角度：120-155度; 气压升降、升降扶手；带滚轮，调节式头枕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21</w:t>
            </w:r>
          </w:p>
        </w:tc>
        <w:tc>
          <w:tcPr>
            <w:tcW w:w="1406" w:type="dxa"/>
            <w:vAlign w:val="center"/>
          </w:tcPr>
          <w:p>
            <w:r>
              <w:rPr>
                <w:rFonts w:hint="eastAsia"/>
              </w:rPr>
              <w:t>连接线</w:t>
            </w:r>
          </w:p>
        </w:tc>
        <w:tc>
          <w:tcPr>
            <w:tcW w:w="6169" w:type="dxa"/>
            <w:vAlign w:val="center"/>
          </w:tcPr>
          <w:p>
            <w:r>
              <w:rPr>
                <w:rFonts w:hint="eastAsia"/>
              </w:rPr>
              <w:t>音频线材及辅材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22</w:t>
            </w:r>
          </w:p>
        </w:tc>
        <w:tc>
          <w:tcPr>
            <w:tcW w:w="1406" w:type="dxa"/>
            <w:vAlign w:val="center"/>
          </w:tcPr>
          <w:p>
            <w:r>
              <w:rPr>
                <w:rFonts w:hint="eastAsia"/>
              </w:rPr>
              <w:t>插座</w:t>
            </w:r>
          </w:p>
        </w:tc>
        <w:tc>
          <w:tcPr>
            <w:tcW w:w="6169" w:type="dxa"/>
            <w:vAlign w:val="center"/>
          </w:tcPr>
          <w:p>
            <w:r>
              <w:rPr>
                <w:rFonts w:hint="eastAsia"/>
              </w:rPr>
              <w:t>采用铝合金材料，一进一出，采用100M 网络传输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23</w:t>
            </w:r>
          </w:p>
        </w:tc>
        <w:tc>
          <w:tcPr>
            <w:tcW w:w="1406" w:type="dxa"/>
            <w:vAlign w:val="center"/>
          </w:tcPr>
          <w:p>
            <w:r>
              <w:rPr>
                <w:rFonts w:hint="eastAsia"/>
              </w:rPr>
              <w:t>电线电缆及其他辅材</w:t>
            </w:r>
          </w:p>
        </w:tc>
        <w:tc>
          <w:tcPr>
            <w:tcW w:w="6169" w:type="dxa"/>
            <w:vAlign w:val="center"/>
          </w:tcPr>
          <w:p>
            <w:r>
              <w:rPr>
                <w:rFonts w:hint="eastAsia"/>
              </w:rPr>
              <w:t>LED电力电缆、信号网络电缆、HDMI/DVI线材等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四</w:t>
            </w:r>
          </w:p>
        </w:tc>
        <w:tc>
          <w:tcPr>
            <w:tcW w:w="7575" w:type="dxa"/>
            <w:gridSpan w:val="2"/>
            <w:vAlign w:val="center"/>
          </w:tcPr>
          <w:p>
            <w:r>
              <w:rPr>
                <w:rFonts w:hint="eastAsia"/>
              </w:rPr>
              <w:t>设备间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vAlign w:val="center"/>
          </w:tcPr>
          <w:p>
            <w:r>
              <w:rPr>
                <w:rFonts w:hint="eastAsia"/>
              </w:rPr>
              <w:t>UPS系统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w:t>
            </w:r>
          </w:p>
        </w:tc>
        <w:tc>
          <w:tcPr>
            <w:tcW w:w="1406" w:type="dxa"/>
            <w:vMerge w:val="restart"/>
            <w:vAlign w:val="center"/>
          </w:tcPr>
          <w:p>
            <w:r>
              <w:rPr>
                <w:rFonts w:hint="eastAsia"/>
              </w:rPr>
              <w:t>UPS系统（配电一体柜）</w:t>
            </w:r>
          </w:p>
        </w:tc>
        <w:tc>
          <w:tcPr>
            <w:tcW w:w="6169" w:type="dxa"/>
            <w:vAlign w:val="center"/>
          </w:tcPr>
          <w:p>
            <w:r>
              <w:rPr>
                <w:rFonts w:hint="eastAsia"/>
              </w:rPr>
              <w:t>1.容量:30kVA/30kW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2.输入:380/400/415Vac;3中+N+PE;63A Max;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3.输出:380/400/415Vac;3Φ+N+PE;63A Max:50/60Hz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4.电池输入:±96/108/120Vdc:139/141/143A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5.支持并机使用，具有电池数量可调功能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6.具有LED显示功能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1406" w:type="dxa"/>
            <w:vAlign w:val="center"/>
          </w:tcPr>
          <w:p>
            <w:r>
              <w:rPr>
                <w:rFonts w:hint="eastAsia"/>
              </w:rPr>
              <w:t>电池组</w:t>
            </w:r>
          </w:p>
        </w:tc>
        <w:tc>
          <w:tcPr>
            <w:tcW w:w="6169" w:type="dxa"/>
            <w:vAlign w:val="center"/>
          </w:tcPr>
          <w:p>
            <w:r>
              <w:rPr>
                <w:rFonts w:hint="eastAsia"/>
              </w:rPr>
              <w:t>定制42U网络机柜部署，共16节65AH阀控铅酸电池</w:t>
            </w:r>
          </w:p>
        </w:tc>
      </w:tr>
      <w:tr>
        <w:tblPrEx>
          <w:tblCellMar>
            <w:top w:w="0" w:type="dxa"/>
            <w:left w:w="108" w:type="dxa"/>
            <w:bottom w:w="0" w:type="dxa"/>
            <w:right w:w="108" w:type="dxa"/>
          </w:tblCellMar>
        </w:tblPrEx>
        <w:trPr>
          <w:trHeight w:val="312" w:hRule="atLeast"/>
          <w:jc w:val="center"/>
        </w:trPr>
        <w:tc>
          <w:tcPr>
            <w:tcW w:w="947" w:type="dxa"/>
            <w:noWrap/>
            <w:vAlign w:val="center"/>
          </w:tcPr>
          <w:p>
            <w:r>
              <w:rPr>
                <w:rFonts w:hint="eastAsia"/>
              </w:rPr>
              <w:t>1.3</w:t>
            </w:r>
          </w:p>
        </w:tc>
        <w:tc>
          <w:tcPr>
            <w:tcW w:w="1406" w:type="dxa"/>
            <w:vAlign w:val="center"/>
          </w:tcPr>
          <w:p>
            <w:r>
              <w:rPr>
                <w:rFonts w:hint="eastAsia"/>
              </w:rPr>
              <w:t>配电线缆</w:t>
            </w:r>
          </w:p>
        </w:tc>
        <w:tc>
          <w:tcPr>
            <w:tcW w:w="6169" w:type="dxa"/>
            <w:vAlign w:val="center"/>
          </w:tcPr>
          <w:p>
            <w:r>
              <w:rPr>
                <w:rFonts w:hint="eastAsia"/>
              </w:rPr>
              <w:t>定制电池线及电缆连接线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vAlign w:val="center"/>
          </w:tcPr>
          <w:p>
            <w:r>
              <w:rPr>
                <w:rFonts w:hint="eastAsia"/>
              </w:rPr>
              <w:t>精密空调系统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2.1</w:t>
            </w:r>
          </w:p>
        </w:tc>
        <w:tc>
          <w:tcPr>
            <w:tcW w:w="1406" w:type="dxa"/>
            <w:vMerge w:val="restart"/>
            <w:vAlign w:val="center"/>
          </w:tcPr>
          <w:p>
            <w:r>
              <w:rPr>
                <w:rFonts w:hint="eastAsia"/>
              </w:rPr>
              <w:t>空调</w:t>
            </w:r>
          </w:p>
        </w:tc>
        <w:tc>
          <w:tcPr>
            <w:tcW w:w="6169" w:type="dxa"/>
            <w:vAlign w:val="center"/>
          </w:tcPr>
          <w:p>
            <w:r>
              <w:rPr>
                <w:rFonts w:hint="eastAsia"/>
              </w:rPr>
              <w:t>1.定频立柜空调，配套室外机。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2.制冷量：12KW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3.风量：2850m³/H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4.输入电压：380V-415V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5.机身重量：110KG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2.2</w:t>
            </w:r>
          </w:p>
        </w:tc>
        <w:tc>
          <w:tcPr>
            <w:tcW w:w="1406" w:type="dxa"/>
            <w:vAlign w:val="center"/>
          </w:tcPr>
          <w:p>
            <w:r>
              <w:rPr>
                <w:rFonts w:hint="eastAsia"/>
              </w:rPr>
              <w:t>空调铜管</w:t>
            </w:r>
          </w:p>
        </w:tc>
        <w:tc>
          <w:tcPr>
            <w:tcW w:w="6169" w:type="dxa"/>
            <w:vAlign w:val="center"/>
          </w:tcPr>
          <w:p>
            <w:r>
              <w:rPr>
                <w:rFonts w:hint="eastAsia"/>
              </w:rPr>
              <w:t>配套铜管件等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vAlign w:val="center"/>
          </w:tcPr>
          <w:p>
            <w:r>
              <w:rPr>
                <w:rFonts w:hint="eastAsia"/>
              </w:rPr>
              <w:t>机柜及综合布线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w:t>
            </w:r>
          </w:p>
        </w:tc>
        <w:tc>
          <w:tcPr>
            <w:tcW w:w="1406" w:type="dxa"/>
            <w:vAlign w:val="center"/>
          </w:tcPr>
          <w:p>
            <w:r>
              <w:rPr>
                <w:rFonts w:hint="eastAsia"/>
              </w:rPr>
              <w:t>网络机柜</w:t>
            </w:r>
          </w:p>
        </w:tc>
        <w:tc>
          <w:tcPr>
            <w:tcW w:w="6169" w:type="dxa"/>
            <w:vAlign w:val="center"/>
          </w:tcPr>
          <w:p>
            <w:r>
              <w:rPr>
                <w:rFonts w:hint="eastAsia"/>
              </w:rPr>
              <w:t>2000*600*600mm，42U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3.2</w:t>
            </w:r>
          </w:p>
        </w:tc>
        <w:tc>
          <w:tcPr>
            <w:tcW w:w="1406" w:type="dxa"/>
            <w:vAlign w:val="center"/>
          </w:tcPr>
          <w:p>
            <w:r>
              <w:rPr>
                <w:rFonts w:hint="eastAsia"/>
              </w:rPr>
              <w:t>网格桥架</w:t>
            </w:r>
          </w:p>
        </w:tc>
        <w:tc>
          <w:tcPr>
            <w:tcW w:w="6169" w:type="dxa"/>
            <w:vAlign w:val="center"/>
          </w:tcPr>
          <w:p>
            <w:r>
              <w:rPr>
                <w:rFonts w:hint="eastAsia"/>
              </w:rPr>
              <w:t>不锈钢网格桥架300*150mm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3.3</w:t>
            </w:r>
          </w:p>
        </w:tc>
        <w:tc>
          <w:tcPr>
            <w:tcW w:w="1406" w:type="dxa"/>
            <w:vAlign w:val="center"/>
          </w:tcPr>
          <w:p>
            <w:r>
              <w:rPr>
                <w:rFonts w:hint="eastAsia"/>
              </w:rPr>
              <w:t>线缆及其他</w:t>
            </w:r>
          </w:p>
        </w:tc>
        <w:tc>
          <w:tcPr>
            <w:tcW w:w="6169" w:type="dxa"/>
            <w:vAlign w:val="center"/>
          </w:tcPr>
          <w:p>
            <w:r>
              <w:rPr>
                <w:rFonts w:hint="eastAsia"/>
              </w:rPr>
              <w:t>含六类网络电缆、配线架、理线架等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vAlign w:val="center"/>
          </w:tcPr>
          <w:p>
            <w:r>
              <w:rPr>
                <w:rFonts w:hint="eastAsia"/>
              </w:rPr>
              <w:t>气体消防柜及动环监控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vAlign w:val="center"/>
          </w:tcPr>
          <w:p>
            <w:r>
              <w:rPr>
                <w:rFonts w:hint="eastAsia"/>
              </w:rPr>
              <w:t>柜式七氟丙烷气体装置</w:t>
            </w:r>
          </w:p>
        </w:tc>
        <w:tc>
          <w:tcPr>
            <w:tcW w:w="6169" w:type="dxa"/>
            <w:vAlign w:val="center"/>
          </w:tcPr>
          <w:p>
            <w:r>
              <w:rPr>
                <w:rFonts w:hint="eastAsia"/>
              </w:rPr>
              <w:t>100L，含七氟丙烷气体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vAlign w:val="center"/>
          </w:tcPr>
          <w:p>
            <w:r>
              <w:rPr>
                <w:rFonts w:hint="eastAsia"/>
              </w:rPr>
              <w:t>动环监控系统</w:t>
            </w:r>
          </w:p>
        </w:tc>
        <w:tc>
          <w:tcPr>
            <w:tcW w:w="6169" w:type="dxa"/>
            <w:vAlign w:val="center"/>
          </w:tcPr>
          <w:p>
            <w:r>
              <w:rPr>
                <w:rFonts w:hint="eastAsia"/>
              </w:rPr>
              <w:t>简易配置，实现设备间动力、环境、安防等子系统的集中实时管理，含传感器及线缆敷设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522" w:type="dxa"/>
            <w:gridSpan w:val="3"/>
            <w:vAlign w:val="center"/>
          </w:tcPr>
          <w:p>
            <w:r>
              <w:rPr>
                <w:rFonts w:hint="eastAsia"/>
              </w:rPr>
              <w:t>第二部分：信息机房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一</w:t>
            </w:r>
          </w:p>
        </w:tc>
        <w:tc>
          <w:tcPr>
            <w:tcW w:w="7575" w:type="dxa"/>
            <w:gridSpan w:val="2"/>
            <w:noWrap/>
            <w:vAlign w:val="center"/>
          </w:tcPr>
          <w:p>
            <w:r>
              <w:rPr>
                <w:rFonts w:hint="eastAsia"/>
              </w:rPr>
              <w:t>口岸信息机房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noWrap/>
            <w:vAlign w:val="center"/>
          </w:tcPr>
          <w:p>
            <w:r>
              <w:rPr>
                <w:rFonts w:hint="eastAsia"/>
              </w:rPr>
              <w:t>模块化机柜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1.1</w:t>
            </w:r>
          </w:p>
        </w:tc>
        <w:tc>
          <w:tcPr>
            <w:tcW w:w="1406" w:type="dxa"/>
            <w:vMerge w:val="restart"/>
            <w:noWrap/>
            <w:vAlign w:val="center"/>
          </w:tcPr>
          <w:p>
            <w:r>
              <w:rPr>
                <w:rFonts w:hint="eastAsia"/>
              </w:rPr>
              <w:t>服务器机柜</w:t>
            </w:r>
          </w:p>
        </w:tc>
        <w:tc>
          <w:tcPr>
            <w:tcW w:w="6169" w:type="dxa"/>
            <w:noWrap/>
            <w:vAlign w:val="center"/>
          </w:tcPr>
          <w:p>
            <w:r>
              <w:rPr>
                <w:rFonts w:hint="eastAsia"/>
              </w:rPr>
              <w:t xml:space="preserve">1、服务器机柜尺寸规格（W×D×H）：800mm×1200mm×2000mm，42U，机柜宽800±2（mm），深1200±2（mm），高2000±2(mm)；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2、机柜结构应牢固，箱体及内部钣金件装配结束后结构件不扭曲，紧固件连接应牢固、可靠、无松动，内部可安装层板，且高度可调整，可安装层板，层板可根据立柱的孔位进行调整，并可锁附在U 立柱上；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3、机柜的外观应光洁平整，不得有明显的凹凸不平或机械损伤，不得有裂纹、毛刺、破坏性压痕或严重锈蚀等缺陷，机柜各零部件需要具备相应的防腐或装饰性涂镀层，涂镀层的厚度不小于80微米；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4、▲机柜应采用高强度的冷轧钢板，前后门采用具有良好透风性能网状结构，前门采用单开平板网孔门，后门采用双开平板门，防护等级不低于IP20，主体骨架采用≥2.0mm厚材料，其它≥1.2mm厚材料；机柜通风率不低于75%，开门角度不低于135°，提供同系列机柜第三方检测机构</w:t>
            </w:r>
            <w:r>
              <w:rPr>
                <w:rFonts w:hint="eastAsia"/>
                <w:b/>
                <w:bCs/>
                <w:color w:val="FF0000"/>
                <w:lang w:val="en-US" w:eastAsia="zh-CN"/>
              </w:rPr>
              <w:t>出具</w:t>
            </w:r>
            <w:r>
              <w:rPr>
                <w:rFonts w:hint="eastAsia"/>
                <w:b/>
                <w:bCs/>
                <w:color w:val="FF0000"/>
              </w:rPr>
              <w:t xml:space="preserve">的检测报告；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5、机柜需具备有良好的承重能力，静态承重≥2500KG，动态承重≥1500KG；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6、机柜应支持理线板安装，允许4个理线板同时安装；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7、▲符合中国ROHS认证标准 GB/T26572-2011《电子电气产品中限用物质的限量要求》，机柜及辅件通过电子电气产品中限用物质的限量要求检测，提供第三方检测机构</w:t>
            </w:r>
            <w:r>
              <w:rPr>
                <w:rFonts w:hint="eastAsia"/>
                <w:b/>
                <w:bCs/>
                <w:color w:val="FF0000"/>
                <w:lang w:val="en-US" w:eastAsia="zh-CN"/>
              </w:rPr>
              <w:t>出具</w:t>
            </w:r>
            <w:r>
              <w:rPr>
                <w:rFonts w:hint="eastAsia"/>
                <w:b/>
                <w:bCs/>
                <w:color w:val="FF0000"/>
              </w:rPr>
              <w:t xml:space="preserve">的检测报告；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8、机柜应具备在承载不小于550kg的承重下，满足8、9级烈度抗震能力，提供同系列机柜第三方检测机构</w:t>
            </w:r>
            <w:r>
              <w:rPr>
                <w:rFonts w:hint="eastAsia"/>
                <w:b/>
                <w:bCs/>
                <w:color w:val="FF0000"/>
                <w:lang w:val="en-US" w:eastAsia="zh-CN"/>
              </w:rPr>
              <w:t>出具</w:t>
            </w:r>
            <w:r>
              <w:rPr>
                <w:rFonts w:hint="eastAsia"/>
                <w:b/>
                <w:bCs/>
                <w:color w:val="FF0000"/>
              </w:rPr>
              <w:t xml:space="preserve">的检测报告；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9、机柜需标配2个32A输入24口PDU。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1.2</w:t>
            </w:r>
          </w:p>
        </w:tc>
        <w:tc>
          <w:tcPr>
            <w:tcW w:w="1406" w:type="dxa"/>
            <w:vMerge w:val="restart"/>
            <w:noWrap/>
            <w:vAlign w:val="center"/>
          </w:tcPr>
          <w:p>
            <w:r>
              <w:rPr>
                <w:rFonts w:hint="eastAsia"/>
              </w:rPr>
              <w:t>密闭通道组件</w:t>
            </w:r>
          </w:p>
        </w:tc>
        <w:tc>
          <w:tcPr>
            <w:tcW w:w="6169" w:type="dxa"/>
            <w:noWrap/>
            <w:vAlign w:val="center"/>
          </w:tcPr>
          <w:p>
            <w:r>
              <w:rPr>
                <w:rFonts w:hint="eastAsia"/>
              </w:rPr>
              <w:t>1、微模块的端门应含前后端2个自动平移门，可通过人脸识别门禁自动打开；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2、端门可通过人脸识别门禁自动打开，端门采用厚防爆钢化玻璃，全玻璃设计，端门玻璃可视化占比达98%以上，提供照片及第三方检测机构</w:t>
            </w:r>
            <w:r>
              <w:rPr>
                <w:rFonts w:hint="eastAsia"/>
                <w:b/>
                <w:bCs/>
                <w:color w:val="FF0000"/>
                <w:lang w:val="en-US" w:eastAsia="zh-CN"/>
              </w:rPr>
              <w:t>出具</w:t>
            </w:r>
            <w:r>
              <w:rPr>
                <w:rFonts w:hint="eastAsia"/>
                <w:b/>
                <w:bCs/>
                <w:color w:val="FF0000"/>
              </w:rPr>
              <w:t>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3、冷通道端门标配门楣点状氛围灯，支持人体感应开关控制。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4、支持10寸触摸屏安装，冷通道显示屏安装面板满足独立悬挂安装，可快速翻转，便捷维护。</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5、▲微模块冷通道通过8级烈度以上结构抗震测试，报告中体现冷通道的结构，需包含通道玻璃门、机柜、天窗基本结构，需提供第三方检测机构</w:t>
            </w:r>
            <w:r>
              <w:rPr>
                <w:rFonts w:hint="eastAsia"/>
                <w:b/>
                <w:bCs/>
                <w:color w:val="FF0000"/>
                <w:lang w:val="en-US" w:eastAsia="zh-CN"/>
              </w:rPr>
              <w:t>出具</w:t>
            </w:r>
            <w:r>
              <w:rPr>
                <w:rFonts w:hint="eastAsia"/>
                <w:b/>
                <w:bCs/>
                <w:color w:val="FF0000"/>
              </w:rPr>
              <w:t>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6、冷通道端门支持门框U型RGB全彩状态显示灯，灯光颜色可现场设置，实现不少于3级告警联动；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1.3</w:t>
            </w:r>
          </w:p>
        </w:tc>
        <w:tc>
          <w:tcPr>
            <w:tcW w:w="1406" w:type="dxa"/>
            <w:vMerge w:val="restart"/>
            <w:noWrap/>
            <w:vAlign w:val="center"/>
          </w:tcPr>
          <w:p>
            <w:r>
              <w:rPr>
                <w:rFonts w:hint="eastAsia"/>
              </w:rPr>
              <w:t>配电柜</w:t>
            </w:r>
          </w:p>
        </w:tc>
        <w:tc>
          <w:tcPr>
            <w:tcW w:w="6169" w:type="dxa"/>
            <w:vAlign w:val="center"/>
          </w:tcPr>
          <w:p>
            <w:r>
              <w:rPr>
                <w:rFonts w:hint="eastAsia"/>
              </w:rPr>
              <w:t>一体化配电柜机架-600mm(W)*1200mm(D)*2000mm(H)，内置IT配电模块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1、▲采用19英寸42U标准机柜，柜体尺寸（宽*深*高）600*1200*2000mm；配电柜柜体采用冷轧钢板；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2、配电输入：双路MCCB输入，额定电流200A/3P；</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3、IT配电输出：2路IT配电，每路支持单相24路输出32A/1P，满足2N配电架构；标配输出接线排；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4、断路器；精密配电柜中所使用的断路器为ABB、施耐德或同等级品牌产品。其中63A及以下采用小型断路器，＞63A采用塑壳断路器。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5、电源防雷器：配电柜配置C级防雷器,其泄放电流能力根据招标要求，响应时间25ns，残压≤1.8kV(C级)，防雷器配置前端断路器保护。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6、监控及检测装置：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1)三相智能采集单元：采用多功能电力仪表，所有器件包括仪表安置在门内，有隔离挡板遮挡，带485通讯接口输出。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2)液晶触摸屏：采用≥7寸LCD触摸屏，彩色显示，高速刷新数据，标配RS485接口/232，提供Modbus通信协议。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3)检测单元：采用高精度的主回路检测模块和支路电力参数检测模块。可显示三相电流，电压，有功功率，无功功率，视在功率，频率，负载，主回路全电量，支路电流、支路电压，故障报警和记录功能。</w:t>
            </w:r>
          </w:p>
        </w:tc>
      </w:tr>
      <w:tr>
        <w:tblPrEx>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4)普通互感器采用精度0.5级，二次电流5A；精密互感器采用精度0.2级，支路电流互感器10mA。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5)具备主路及支路电流阀值报警功能，阀值可调节。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6)具备主路开关状态，防雷器报警状态检测。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7、需提供投标产品的同系列精密配电柜的8、9烈度第三方抗震报告</w:t>
            </w:r>
            <w:r>
              <w:rPr>
                <w:rFonts w:hint="eastAsia"/>
                <w:b/>
                <w:bCs/>
                <w:color w:val="FF0000"/>
                <w:lang w:val="en-US" w:eastAsia="zh-CN"/>
              </w:rPr>
              <w:t>扫描件，原件备查</w:t>
            </w:r>
            <w:r>
              <w:rPr>
                <w:rFonts w:hint="eastAsia"/>
                <w:b/>
                <w:bCs/>
                <w:color w:val="FF0000"/>
                <w:lang w:eastAsia="zh-CN"/>
              </w:rPr>
              <w:t>；</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1.4</w:t>
            </w:r>
          </w:p>
        </w:tc>
        <w:tc>
          <w:tcPr>
            <w:tcW w:w="1406" w:type="dxa"/>
            <w:vMerge w:val="restart"/>
            <w:noWrap/>
            <w:vAlign w:val="center"/>
          </w:tcPr>
          <w:p>
            <w:r>
              <w:rPr>
                <w:rFonts w:hint="eastAsia"/>
              </w:rPr>
              <w:t>精密空调1</w:t>
            </w:r>
          </w:p>
        </w:tc>
        <w:tc>
          <w:tcPr>
            <w:tcW w:w="6169" w:type="dxa"/>
            <w:vAlign w:val="center"/>
          </w:tcPr>
          <w:p>
            <w:r>
              <w:rPr>
                <w:rFonts w:hint="eastAsia"/>
              </w:rPr>
              <w:t>≥25kw制冷量，水平送风-上下走管-双路供电-加热加湿，配套室外机。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1、▲空调内机尺寸为宽*深*高：300*1200*2000mm，要求室内侧温度 37℃，室外侧温度35°C工况下，制冷量应≥25kw，显热比应≥0.95，并且机组制冷能效比应大于3.5，需提供第三方测试报告</w:t>
            </w:r>
            <w:r>
              <w:rPr>
                <w:rFonts w:hint="eastAsia"/>
                <w:b/>
                <w:bCs/>
                <w:color w:val="FF0000"/>
                <w:lang w:val="en-US" w:eastAsia="zh-CN"/>
              </w:rPr>
              <w:t>扫描件，原件备查</w:t>
            </w:r>
            <w:r>
              <w:rPr>
                <w:rFonts w:hint="eastAsia"/>
                <w:b/>
                <w:bCs/>
                <w:color w:val="FF0000"/>
              </w:rPr>
              <w:t>，报告指标需具有（实测工况、制冷量、显热制冷量、风量、能效比、噪音）指标；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2、标配加热功能、加湿功能，风量需≥5000m3/h，加湿量需≥1.5kg/h，加热量需≥3kw；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3、为保证可靠性并减少空调的风机维护工作，EC风机应采用N+1冗余配置，风机数量不小于6个，任意风机故障，仍可确保全风量运行；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4、▲空调机组应采用低功的耗湿膜加湿方式，节能省电，适用范围广，同时在加湿过程中无需消耗功率，需提供第三方测试报告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5、要求采用直流变频压缩机，要求压缩机具有较高的能效比，且冷量输出可实现20%-100%连续调节；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6、应选用高效内螺纹“V”型大面积蒸发器，保障换热效率；室外风机应可根据室外温度及冷量需求变频调速，减少风机能耗；空调应配置可多次清洗及在线更换的空气过滤器，需配置G4等级或以上滤网。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7、▲膨胀阀：为保证系统运行的高效性和稳定性，空调需要求标配双电子膨胀阀（两个电子膨胀阀），需提供第三方测试报告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8、空调具备容错保护功能，输入缺相、错相时，具备相序告警保护功能；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9、精密空调应具有低载除湿能力，室内低负载的情况下能够稳定除湿功能；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10、精密空调应采用≥ 7英寸全中文彩色触摸屏，用于图形显示机组内各组件的运行状态的功能，屏幕事件记录数量不少于 1000 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11、为保证精密空调可靠性及安全性，机组应支持制冷剂泄露或灌注量不足告警，需提供第三方测试报告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12、精密空调应标配RS485接口，控制系统支持micro USB和USB端口的运维功能，同时具有与消防联动的干接点。当空调收到消防联动信号时，空调可立即自动停机，需提供第三方测试报告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★13、须提供投标产品的中国节能产品认证证书</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14、提供投标机组的CRAA产品认证证书</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1.5</w:t>
            </w:r>
          </w:p>
        </w:tc>
        <w:tc>
          <w:tcPr>
            <w:tcW w:w="1406" w:type="dxa"/>
            <w:vMerge w:val="restart"/>
            <w:noWrap/>
            <w:vAlign w:val="center"/>
          </w:tcPr>
          <w:p>
            <w:r>
              <w:rPr>
                <w:rFonts w:hint="eastAsia"/>
              </w:rPr>
              <w:t>监控组件</w:t>
            </w:r>
          </w:p>
        </w:tc>
        <w:tc>
          <w:tcPr>
            <w:tcW w:w="6169" w:type="dxa"/>
            <w:noWrap/>
            <w:vAlign w:val="center"/>
          </w:tcPr>
          <w:p>
            <w:r>
              <w:rPr>
                <w:rFonts w:hint="eastAsia"/>
              </w:rPr>
              <w:t>1、监控主机具备支持双网卡工作模式；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2、▲监控主机支持≥10000测点量和≥10W条历史纪录的存储，10个以上web端访问；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3、▲为了保证信息安全，提供的监控主机及系统具备多种的安全设计验证，提供第三方检测机构</w:t>
            </w:r>
            <w:r>
              <w:rPr>
                <w:rFonts w:hint="eastAsia"/>
                <w:b/>
                <w:bCs/>
                <w:color w:val="FF0000"/>
                <w:lang w:val="en-US" w:eastAsia="zh-CN"/>
              </w:rPr>
              <w:t>出具</w:t>
            </w:r>
            <w:r>
              <w:rPr>
                <w:rFonts w:hint="eastAsia"/>
                <w:b/>
                <w:bCs/>
                <w:color w:val="FF0000"/>
              </w:rPr>
              <w:t>的检测机构的报告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4、▲微模块监控系统需供自主研发软件著作权。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5、软件系统应采用Linux操作系统，支持B/S或C/S架构，可在网络的任何位置，均能够通过浏览器进行实时访问。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6、▲为接入第三方集控平台，要求监控系统提供断点续传功能，在集控平台和网络出现故障时，能保持本地存储，并在故障恢复后，将保存的数据同步到集控平台，提供</w:t>
            </w:r>
            <w:r>
              <w:rPr>
                <w:rFonts w:hint="eastAsia"/>
                <w:b/>
                <w:bCs/>
                <w:color w:val="FF0000"/>
                <w:lang w:val="en-US" w:eastAsia="zh-CN"/>
              </w:rPr>
              <w:t>产品</w:t>
            </w:r>
            <w:r>
              <w:rPr>
                <w:rFonts w:hint="eastAsia"/>
                <w:b/>
                <w:bCs/>
                <w:color w:val="FF0000"/>
              </w:rPr>
              <w:t>彩页或原理说明。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7、微模块监控系统可监控的设备（包括但不限于以下功能）：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1）支持配电柜市电电压，电流，频率，有功、无功、视在功率，电量等检测，并具备图表方式展示功能；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2）支持UPS主输入电压、电流、频率，UPS旁路输入电压、电流、频率，UPS输出电压、电流、频率，电池电压、充放电电流、后备时间等，并具备图表方式展示功能；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rPr>
              <w:t>3）支持精密配电柜的主路、支路的电压、电流、开关状态检测，并支持生成配电拓扑图，在拓扑图上显示各开关状态和电流信息，提供</w:t>
            </w:r>
            <w:r>
              <w:rPr>
                <w:rFonts w:hint="eastAsia"/>
                <w:b/>
                <w:bCs/>
                <w:color w:val="FF0000"/>
                <w:lang w:val="en-US" w:eastAsia="zh-CN"/>
              </w:rPr>
              <w:t>产品</w:t>
            </w:r>
            <w:r>
              <w:rPr>
                <w:rFonts w:hint="eastAsia"/>
                <w:b/>
                <w:bCs/>
                <w:color w:val="FF0000"/>
              </w:rPr>
              <w:t>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4）支持空调回送风情况、运行状况，空调各部件（如压缩机、风机、加热器、加湿器、去湿器、滤网等）的运行状态与参数。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5）温湿度系统：监控微模块温湿度情况，当出现阈值越限时，输出告警信息。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6）感烟系统：监测微模块烟雾状态，当出现告警时，输出告警信息，并联动天窗翻转和门禁常开；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7）水浸系统：监测空调及水管周围漏水情况，当漏水感应线检测到漏水后，输出输出告警信息；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8）门禁系统：监测机房门和通道门的进出记录和门禁状态。支持人脸、指纹、刷卡、密码等多种开门认证方式，支持单向或双向刷卡开门方式。门禁控制系统支持带断电开门、消防告警时自动开门。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9）视频功能：在机房出入口、冷通道内等区域安装摄像机，进行全天候的视频图像监视，要求软件集成接入，不允许通过web超链接的方式接入。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8、动环监控发现部件故障或参数异常，可立即通过E-mail、短信（或电话）、声光告警和语音告警等多种报警方式告知运维人员，记录历史数据和报警事件。</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9、▲监控界面支持基于微模块现场布置，生成对应的3D模型,模型支持放大、缩小、适屏、旋转操作，提供</w:t>
            </w:r>
            <w:r>
              <w:rPr>
                <w:rFonts w:hint="eastAsia"/>
                <w:b/>
                <w:bCs/>
                <w:color w:val="FF0000"/>
                <w:lang w:val="en-US" w:eastAsia="zh-CN"/>
              </w:rPr>
              <w:t>产品</w:t>
            </w:r>
            <w:r>
              <w:rPr>
                <w:rFonts w:hint="eastAsia"/>
                <w:b/>
                <w:bCs/>
                <w:color w:val="FF0000"/>
              </w:rPr>
              <w:t>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10、支持历史数据、事件记录灵活选择时间、等级、状态等条件展示和导出数据；支持事件记录统计分析设备运行健康状况，并通过曲线、图表等方式直观展现；支持历史数据、告警事件报表自定义配置，数据统计方式支持平均值、极大值、极小值、标准差等，图表展示方式支持柱图、曲线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11、告警功能：支持用户自定义设置阈值和告警条件，当有故障或参数异常，系统会实时告警；告警级别默认分为4级，可支持7个级别设置；告警内容包含事件的告警开始时间、告警结束时间、告警设备、告警内容、确认人信息；在设备详情页中自动高亮显示告警测点；用户自定义设置告警推送方式、推送人员、推送规则，提供</w:t>
            </w:r>
            <w:r>
              <w:rPr>
                <w:rFonts w:hint="eastAsia"/>
                <w:b/>
                <w:bCs/>
                <w:color w:val="FF0000"/>
                <w:lang w:val="en-US" w:eastAsia="zh-CN"/>
              </w:rPr>
              <w:t>产品</w:t>
            </w:r>
            <w:r>
              <w:rPr>
                <w:rFonts w:hint="eastAsia"/>
                <w:b/>
                <w:bCs/>
                <w:color w:val="FF0000"/>
              </w:rPr>
              <w:t>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12、支持用户自定义配置PUE、CLF、PLF、ALF等计算公式，实时统计分析计算值，并可通过图、表形式展示和数据导出；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1.6</w:t>
            </w:r>
          </w:p>
        </w:tc>
        <w:tc>
          <w:tcPr>
            <w:tcW w:w="1406" w:type="dxa"/>
            <w:noWrap/>
            <w:vAlign w:val="center"/>
          </w:tcPr>
          <w:p>
            <w:r>
              <w:rPr>
                <w:rFonts w:hint="eastAsia"/>
              </w:rPr>
              <w:t>成套线缆</w:t>
            </w:r>
          </w:p>
        </w:tc>
        <w:tc>
          <w:tcPr>
            <w:tcW w:w="6169" w:type="dxa"/>
            <w:vAlign w:val="center"/>
          </w:tcPr>
          <w:p>
            <w:r>
              <w:rPr>
                <w:rFonts w:hint="eastAsia"/>
              </w:rPr>
              <w:t>微模块各个部件之间的功率线缆、信号线缆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noWrap/>
            <w:vAlign w:val="center"/>
          </w:tcPr>
          <w:p>
            <w:r>
              <w:rPr>
                <w:rFonts w:hint="eastAsia"/>
              </w:rPr>
              <w:t>供配电、UPS、空调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2.1</w:t>
            </w:r>
          </w:p>
        </w:tc>
        <w:tc>
          <w:tcPr>
            <w:tcW w:w="1406" w:type="dxa"/>
            <w:noWrap/>
            <w:vAlign w:val="center"/>
          </w:tcPr>
          <w:p>
            <w:r>
              <w:rPr>
                <w:rFonts w:hint="eastAsia"/>
              </w:rPr>
              <w:t>市电总配电柜</w:t>
            </w:r>
          </w:p>
        </w:tc>
        <w:tc>
          <w:tcPr>
            <w:tcW w:w="6169" w:type="dxa"/>
            <w:vAlign w:val="center"/>
          </w:tcPr>
          <w:p>
            <w:r>
              <w:rPr>
                <w:rFonts w:hint="eastAsia"/>
              </w:rPr>
              <w:t>含柜体、ATS切换开关、塑壳开关、电量仪、保护开关等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2.2</w:t>
            </w:r>
          </w:p>
        </w:tc>
        <w:tc>
          <w:tcPr>
            <w:tcW w:w="1406" w:type="dxa"/>
            <w:noWrap/>
            <w:vAlign w:val="center"/>
          </w:tcPr>
          <w:p>
            <w:r>
              <w:rPr>
                <w:rFonts w:hint="eastAsia"/>
              </w:rPr>
              <w:t>UPS输出柜</w:t>
            </w:r>
          </w:p>
        </w:tc>
        <w:tc>
          <w:tcPr>
            <w:tcW w:w="6169" w:type="dxa"/>
            <w:vAlign w:val="center"/>
          </w:tcPr>
          <w:p>
            <w:r>
              <w:rPr>
                <w:rFonts w:hint="eastAsia"/>
              </w:rPr>
              <w:t>含柜体、电量仪、塑壳开关、微断开关、保护开关等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2.3</w:t>
            </w:r>
          </w:p>
        </w:tc>
        <w:tc>
          <w:tcPr>
            <w:tcW w:w="1406" w:type="dxa"/>
            <w:noWrap/>
            <w:vAlign w:val="center"/>
          </w:tcPr>
          <w:p>
            <w:r>
              <w:rPr>
                <w:rFonts w:hint="eastAsia"/>
              </w:rPr>
              <w:t>电力电缆</w:t>
            </w:r>
          </w:p>
        </w:tc>
        <w:tc>
          <w:tcPr>
            <w:tcW w:w="6169" w:type="dxa"/>
            <w:vAlign w:val="center"/>
          </w:tcPr>
          <w:p>
            <w:r>
              <w:rPr>
                <w:rFonts w:hint="eastAsia"/>
              </w:rPr>
              <w:t>含主输入端电缆、输出电缆等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2.4</w:t>
            </w:r>
          </w:p>
        </w:tc>
        <w:tc>
          <w:tcPr>
            <w:tcW w:w="1406" w:type="dxa"/>
            <w:vMerge w:val="restart"/>
            <w:noWrap/>
            <w:vAlign w:val="center"/>
          </w:tcPr>
          <w:p>
            <w:r>
              <w:rPr>
                <w:rFonts w:hint="eastAsia"/>
              </w:rPr>
              <w:t>机房用UPS系统</w:t>
            </w:r>
          </w:p>
        </w:tc>
        <w:tc>
          <w:tcPr>
            <w:tcW w:w="6169" w:type="dxa"/>
            <w:noWrap/>
            <w:vAlign w:val="center"/>
          </w:tcPr>
          <w:p>
            <w:r>
              <w:rPr>
                <w:rFonts w:hint="eastAsia"/>
              </w:rPr>
              <w:t xml:space="preserve">1、UPS应采用模块化设计，机框容量不低于120KVA，为节省空间，UPS主机应尽可能较少占地面积，尺寸不应大于600*860*2000mm（宽*深*高）；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2、▲UPS功率模块应≥25KVA，旁路模块与功率模块均应并持热插拔功能；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3、为避免分散旁路出现电流不均衡、不可控引起故障，模块化UPS采用集中旁路；且要求旁路具有独立接线和开关控制，提高供电可靠性；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4、支持智能ECO模式，在ECO旁路供电的基础上优化电网质量，功率模块能对旁路电进行谐波补偿，提高旁路可靠性；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5、输入电压范围：输入电压138V～485V ，输入电压宽，适应恶劣电网环境；</w:t>
            </w:r>
          </w:p>
        </w:tc>
      </w:tr>
      <w:tr>
        <w:tblPrEx>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6、模块化UPS应具备智能发电机管理功能：当市电停电，应可启用发电机智能管理，可由UPS设置界面进行管理；当发电机额定输出功率不足时，允许在UPS管理界面重新定义发电机的输出功率，由ups自主管理，确保UPS输出不间断，即可降低发电机过大容量配置，又可降低用户投资成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7、电池电压范围：直流电压±168～±276V 、电池可调范围大，现场配置灵活；提供</w:t>
            </w:r>
            <w:r>
              <w:rPr>
                <w:rFonts w:hint="eastAsia"/>
                <w:b/>
                <w:bCs/>
                <w:color w:val="FF0000"/>
                <w:lang w:val="en-US" w:eastAsia="zh-CN"/>
              </w:rPr>
              <w:t>产品</w:t>
            </w:r>
            <w:r>
              <w:rPr>
                <w:rFonts w:hint="eastAsia"/>
                <w:b/>
                <w:bCs/>
                <w:color w:val="FF0000"/>
              </w:rPr>
              <w:t>彩页证明材料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8、UPS应有比较高的整机效率，在30%负载下，效率应不低于95%，在50%负载下，效率应不低于96%，输出功率因数1，提供第三方检测机构</w:t>
            </w:r>
            <w:r>
              <w:rPr>
                <w:rFonts w:hint="eastAsia"/>
                <w:b/>
                <w:bCs/>
                <w:color w:val="FF0000"/>
                <w:lang w:val="en-US" w:eastAsia="zh-CN"/>
              </w:rPr>
              <w:t>出具</w:t>
            </w:r>
            <w:r>
              <w:rPr>
                <w:rFonts w:hint="eastAsia"/>
                <w:b/>
                <w:bCs/>
                <w:color w:val="FF0000"/>
              </w:rPr>
              <w:t>的检测报告</w:t>
            </w:r>
            <w:r>
              <w:rPr>
                <w:rFonts w:hint="eastAsia"/>
                <w:b/>
                <w:bCs/>
                <w:color w:val="FF0000"/>
                <w:lang w:val="en-US" w:eastAsia="zh-CN"/>
              </w:rPr>
              <w:t>扫描件，原件备查</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9、模块化主机智能化管理：器件失效预告警功能，可记录更换备品备件的种类、日期与ID，实现备品备件的资产追溯与管理，提供智能化设备的轻松管理；减少运维工作。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 xml:space="preserve">10、模块化UPS具备除尘告警，当设备运行周期较长或设备积尘过多时，UPS启动自动除尘功能，防范未然，提高供电可靠性。提供针对该功能设置界面的照片证明材料；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11、模块化ups支持多机并联，应采用无主从并联技术，确保安全可靠，可多台扩容并联或N+X并联冗余。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 xml:space="preserve">12、▲中文≥7英寸触摸大液晶屏，具有LCD+LED指示的操作界面，实时记录工作状态和运行信息，管理更加直观；操作界面要求配备手动开关机按钮，同时开关机按键采用双键组合设计，确保在触摸屏失效时依然可以开关机操作也防止客户出现误操作得行为，提高了设备可靠性。提供设备照片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 xml:space="preserve">13、▲具有智能录波功能，当UPS设备故障时，完整记录故障发生瞬间，有助于故障诊断和快速故障定位，方便现场分析，提高维护工作效率；提供针对该功能设置界面的照片证明材料。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14、主机近端标配EPO按钮，同时具备远程干接点接口，灵活使用，确保现场紧急状况下能够快速断电，保护设备安全。提供设备照片证明材料；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15、自老化功能：具备自老化功能，有效解决现场调试及老化的负载问题，减少投资；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16、▲UPS应通过泰尔认证、具备绿色之星认证，提供该型号UPS泰尔认证、绿色之星认证证书</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947" w:type="dxa"/>
            <w:vMerge w:val="restart"/>
            <w:noWrap/>
            <w:vAlign w:val="center"/>
          </w:tcPr>
          <w:p>
            <w:r>
              <w:rPr>
                <w:rFonts w:hint="eastAsia"/>
              </w:rPr>
              <w:t>2.5</w:t>
            </w:r>
          </w:p>
        </w:tc>
        <w:tc>
          <w:tcPr>
            <w:tcW w:w="1406" w:type="dxa"/>
            <w:vMerge w:val="restart"/>
            <w:noWrap/>
            <w:vAlign w:val="center"/>
          </w:tcPr>
          <w:p>
            <w:r>
              <w:rPr>
                <w:rFonts w:hint="eastAsia"/>
              </w:rPr>
              <w:t>蓄电池</w:t>
            </w:r>
          </w:p>
        </w:tc>
        <w:tc>
          <w:tcPr>
            <w:tcW w:w="6169" w:type="dxa"/>
            <w:noWrap/>
            <w:vAlign w:val="center"/>
          </w:tcPr>
          <w:p>
            <w:pPr>
              <w:rPr>
                <w:rFonts w:hint="eastAsia"/>
                <w:b/>
                <w:bCs/>
                <w:color w:val="FF0000"/>
              </w:rPr>
            </w:pPr>
            <w:r>
              <w:rPr>
                <w:rFonts w:hint="eastAsia"/>
                <w:b/>
                <w:bCs/>
                <w:color w:val="FF0000"/>
              </w:rPr>
              <w:t>1、200AH/12V，铅酸蓄电池；</w:t>
            </w:r>
          </w:p>
          <w:p>
            <w:pPr>
              <w:rPr>
                <w:rFonts w:hint="eastAsia"/>
                <w:b/>
                <w:bCs/>
                <w:color w:val="FF0000"/>
              </w:rPr>
            </w:pPr>
            <w:r>
              <w:rPr>
                <w:rFonts w:hint="eastAsia"/>
                <w:b/>
                <w:bCs/>
                <w:color w:val="FF0000"/>
              </w:rPr>
              <w:t>2、产品工作条件要求：蓄电池产品应能在温度:-15~+50℃条件下工作。</w:t>
            </w:r>
          </w:p>
          <w:p>
            <w:pPr>
              <w:rPr>
                <w:rFonts w:hint="eastAsia"/>
                <w:b/>
                <w:bCs/>
                <w:color w:val="FF0000"/>
              </w:rPr>
            </w:pPr>
            <w:r>
              <w:rPr>
                <w:rFonts w:hint="eastAsia"/>
                <w:b/>
                <w:bCs/>
                <w:color w:val="FF0000"/>
              </w:rPr>
              <w:t>3、蓄电池安全阀开阀压力应满足范围:10~25kPa，闭阀压力应满足范围:10~20kPa；</w:t>
            </w:r>
          </w:p>
          <w:p>
            <w:pPr>
              <w:rPr>
                <w:rFonts w:hint="eastAsia"/>
                <w:b/>
                <w:bCs/>
                <w:color w:val="FF0000"/>
              </w:rPr>
            </w:pPr>
            <w:r>
              <w:rPr>
                <w:rFonts w:hint="eastAsia"/>
                <w:b/>
                <w:bCs/>
                <w:color w:val="FF0000"/>
              </w:rPr>
              <w:t>4、密封反应效率要求:蓄电池密封反应效率应不低于 97%；</w:t>
            </w:r>
          </w:p>
          <w:p>
            <w:pPr>
              <w:rPr>
                <w:rFonts w:hint="eastAsia"/>
                <w:b/>
                <w:bCs/>
                <w:color w:val="FF0000"/>
              </w:rPr>
            </w:pPr>
            <w:r>
              <w:rPr>
                <w:rFonts w:hint="eastAsia"/>
                <w:b/>
                <w:bCs/>
                <w:color w:val="FF0000"/>
              </w:rPr>
              <w:t>5、容量保存率要求：蓄电池封置28天后，其容量保存率应不低于97%；</w:t>
            </w:r>
          </w:p>
          <w:p>
            <w:pPr>
              <w:rPr>
                <w:rFonts w:hint="eastAsia"/>
                <w:b/>
                <w:bCs/>
                <w:color w:val="FF0000"/>
              </w:rPr>
            </w:pPr>
            <w:r>
              <w:rPr>
                <w:rFonts w:hint="eastAsia"/>
                <w:b/>
                <w:bCs/>
                <w:color w:val="FF0000"/>
              </w:rPr>
              <w:t>6、容量一致性：同组蓄电池10小时率容量试验时，最大实际容量与最小实际容量差值≤3.5%；</w:t>
            </w:r>
          </w:p>
          <w:p>
            <w:pPr>
              <w:rPr>
                <w:rFonts w:hint="eastAsia"/>
                <w:b/>
                <w:bCs/>
                <w:color w:val="FF0000"/>
              </w:rPr>
            </w:pPr>
            <w:r>
              <w:rPr>
                <w:rFonts w:hint="eastAsia"/>
                <w:b/>
                <w:bCs/>
                <w:color w:val="FF0000"/>
              </w:rPr>
              <w:t>7、电池间连续压降：5.5I10放电条件下，△U应≤6mV；</w:t>
            </w:r>
          </w:p>
          <w:p>
            <w:pPr>
              <w:rPr>
                <w:rFonts w:hint="eastAsia"/>
                <w:b/>
                <w:bCs/>
                <w:color w:val="FF0000"/>
              </w:rPr>
            </w:pPr>
            <w:r>
              <w:rPr>
                <w:rFonts w:hint="eastAsia"/>
                <w:b/>
                <w:bCs/>
                <w:color w:val="FF0000"/>
              </w:rPr>
              <w:t>8、 要求满足以上1-7条款参数，提供同系列电池</w:t>
            </w:r>
            <w:r>
              <w:rPr>
                <w:rFonts w:hint="eastAsia"/>
                <w:b/>
                <w:bCs/>
                <w:color w:val="FF0000"/>
                <w:lang w:val="en-US" w:eastAsia="zh-CN"/>
              </w:rPr>
              <w:t>由</w:t>
            </w:r>
            <w:r>
              <w:rPr>
                <w:rFonts w:hint="eastAsia"/>
                <w:b/>
                <w:bCs/>
                <w:color w:val="FF0000"/>
              </w:rPr>
              <w:t>第三方检测机构</w:t>
            </w:r>
            <w:r>
              <w:rPr>
                <w:rFonts w:hint="eastAsia"/>
                <w:b/>
                <w:bCs/>
                <w:color w:val="FF0000"/>
                <w:lang w:val="en-US" w:eastAsia="zh-CN"/>
              </w:rPr>
              <w:t>出具</w:t>
            </w:r>
            <w:r>
              <w:rPr>
                <w:rFonts w:hint="eastAsia"/>
                <w:b/>
                <w:bCs/>
                <w:color w:val="FF0000"/>
              </w:rPr>
              <w:t>的检测报告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9、蓄电池按照YD 5083-2005《电信设备抗地震性能检测规范》及YD/T 5096-2016《通信用电源设备抗地震性能检测规范》经8、9烈度抗地震检测后评定为合格。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2.6</w:t>
            </w:r>
          </w:p>
        </w:tc>
        <w:tc>
          <w:tcPr>
            <w:tcW w:w="1406" w:type="dxa"/>
            <w:noWrap/>
            <w:vAlign w:val="center"/>
          </w:tcPr>
          <w:p>
            <w:r>
              <w:rPr>
                <w:rFonts w:hint="eastAsia"/>
              </w:rPr>
              <w:t>电池柜及电源线</w:t>
            </w:r>
          </w:p>
        </w:tc>
        <w:tc>
          <w:tcPr>
            <w:tcW w:w="6169" w:type="dxa"/>
            <w:vAlign w:val="center"/>
          </w:tcPr>
          <w:p>
            <w:r>
              <w:rPr>
                <w:rFonts w:hint="eastAsia"/>
              </w:rPr>
              <w:t>定制，规格1200*1100mm，含电池柜配套线缆辅料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restart"/>
            <w:noWrap/>
            <w:vAlign w:val="center"/>
          </w:tcPr>
          <w:p>
            <w:r>
              <w:rPr>
                <w:rFonts w:hint="eastAsia"/>
              </w:rPr>
              <w:t>2.7</w:t>
            </w:r>
          </w:p>
        </w:tc>
        <w:tc>
          <w:tcPr>
            <w:tcW w:w="1406" w:type="dxa"/>
            <w:vMerge w:val="restart"/>
            <w:noWrap/>
            <w:vAlign w:val="center"/>
          </w:tcPr>
          <w:p>
            <w:r>
              <w:rPr>
                <w:rFonts w:hint="eastAsia"/>
              </w:rPr>
              <w:t>精密空调2</w:t>
            </w:r>
          </w:p>
        </w:tc>
        <w:tc>
          <w:tcPr>
            <w:tcW w:w="6169" w:type="dxa"/>
            <w:noWrap/>
            <w:vAlign w:val="center"/>
          </w:tcPr>
          <w:p>
            <w:r>
              <w:rPr>
                <w:rFonts w:hint="eastAsia"/>
                <w:b/>
                <w:bCs/>
                <w:color w:val="FF0000"/>
              </w:rPr>
              <w:t>1、▲风冷型房间级精密空调，上送风，制冷量≥12.5kW，显热制冷量≥11.3kW，风量≥3600m3/h，能效比≥3.0（工况：室内侧回风干球温度24℃（等同于湿球温度17℃）的条件下测得；室外侧（放热侧）干球温度35℃下测得），需提供投标产品同系列产品在该工况下</w:t>
            </w:r>
            <w:r>
              <w:rPr>
                <w:rFonts w:hint="eastAsia"/>
                <w:b/>
                <w:bCs/>
                <w:color w:val="FF0000"/>
                <w:lang w:val="en-US" w:eastAsia="zh-CN"/>
              </w:rPr>
              <w:t>由</w:t>
            </w:r>
            <w:r>
              <w:rPr>
                <w:rFonts w:hint="eastAsia"/>
                <w:b/>
                <w:bCs/>
                <w:color w:val="FF0000"/>
              </w:rPr>
              <w:t>第三方机构</w:t>
            </w:r>
            <w:r>
              <w:rPr>
                <w:rFonts w:hint="eastAsia"/>
                <w:b/>
                <w:bCs/>
                <w:color w:val="FF0000"/>
                <w:lang w:val="en-US" w:eastAsia="zh-CN"/>
              </w:rPr>
              <w:t>出具的</w:t>
            </w:r>
            <w:r>
              <w:rPr>
                <w:rFonts w:hint="eastAsia"/>
                <w:b/>
                <w:bCs/>
                <w:color w:val="FF0000"/>
              </w:rPr>
              <w:t>性能测试报告</w:t>
            </w:r>
            <w:r>
              <w:rPr>
                <w:rFonts w:hint="eastAsia"/>
                <w:b/>
                <w:bCs/>
                <w:color w:val="FF0000"/>
                <w:lang w:val="en-US" w:eastAsia="zh-CN"/>
              </w:rPr>
              <w:t>扫描件，原件备查</w:t>
            </w:r>
            <w:r>
              <w:rPr>
                <w:rFonts w:hint="eastAsia"/>
                <w:b/>
                <w:bCs/>
                <w:color w:val="FF0000"/>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2、精密空调应具有良好性能指标，可满足高效节能的要求，精密空调主要指标不应低于以下要求。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1）输入电压允许波动范围：380V±10%，频率：50Hz±2Hz；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2）空调适应性：室内0℃～40℃，室外-15℃～45℃；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3）温度调节范围：+17℃~+28℃，温度调节精度：±1℃ ，温度变化率&lt;5℃/小时；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3、为保证良好的制冷效果，EC风机应采用选用较大送风量的风机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 xml:space="preserve">4、为保证机房专用空调节能性，要求采用高效可靠的压缩机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5、▲精密空调应能够在设备的正面进行全面维修。空调本体外部应预留各种管道接口（冷媒管、加湿管、凝水管），包括下 、后、侧面三方向预留各种管道接口，以便现场安装。提供实物照片证明；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6、▲为了降低回风风阻，机组应设计三面回风，即正面和左右两侧回风，需提供实物照片证明材料；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7、为保证系统运行的高效性和稳定性，空调配置电子膨胀阀，需提供所投产品的膨胀阀型号及品牌；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val="0"/>
                <w:bCs w:val="0"/>
                <w:color w:val="000000" w:themeColor="text1"/>
                <w14:textFill>
                  <w14:solidFill>
                    <w14:schemeClr w14:val="tx1"/>
                  </w14:solidFill>
                </w14:textFill>
              </w:rPr>
              <w:t>8、所有空调机组需采用R410A制冷剂</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9、精密空调具备相序保护功能，来电自启动和延时启动功能，提供</w:t>
            </w:r>
            <w:r>
              <w:rPr>
                <w:rFonts w:hint="eastAsia"/>
                <w:b/>
                <w:bCs/>
                <w:color w:val="FF0000"/>
                <w:lang w:val="en-US" w:eastAsia="zh-CN"/>
              </w:rPr>
              <w:t>产品</w:t>
            </w:r>
            <w:r>
              <w:rPr>
                <w:rFonts w:hint="eastAsia"/>
                <w:b/>
                <w:bCs/>
                <w:color w:val="FF0000"/>
              </w:rPr>
              <w:t>彩页</w:t>
            </w:r>
            <w:r>
              <w:rPr>
                <w:rFonts w:hint="eastAsia"/>
                <w:b/>
                <w:bCs/>
                <w:color w:val="FF0000"/>
                <w:lang w:val="en-US" w:eastAsia="zh-CN"/>
              </w:rPr>
              <w:t>扫描件，原件备查</w:t>
            </w:r>
            <w:r>
              <w:rPr>
                <w:rFonts w:hint="eastAsia"/>
                <w:b/>
                <w:bCs/>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10、★提供投标同系列产品的中国节能产品认证证书</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pPr>
              <w:rPr>
                <w:rFonts w:hint="eastAsia"/>
                <w:b/>
                <w:bCs/>
                <w:color w:val="FF0000"/>
              </w:rPr>
            </w:pPr>
            <w:r>
              <w:rPr>
                <w:rFonts w:hint="eastAsia"/>
                <w:b/>
                <w:bCs/>
                <w:color w:val="FF0000"/>
              </w:rPr>
              <w:t>11、提供投标机组的CRAA产品认证证书</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7" w:type="dxa"/>
            <w:vMerge w:val="restart"/>
            <w:noWrap/>
            <w:vAlign w:val="center"/>
          </w:tcPr>
          <w:p>
            <w:r>
              <w:rPr>
                <w:rFonts w:hint="eastAsia"/>
              </w:rPr>
              <w:t>2.8</w:t>
            </w:r>
          </w:p>
        </w:tc>
        <w:tc>
          <w:tcPr>
            <w:tcW w:w="1406" w:type="dxa"/>
            <w:vMerge w:val="restart"/>
            <w:noWrap/>
            <w:vAlign w:val="center"/>
          </w:tcPr>
          <w:p>
            <w:r>
              <w:rPr>
                <w:rFonts w:hint="eastAsia"/>
              </w:rPr>
              <w:t>精密空调3</w:t>
            </w:r>
          </w:p>
        </w:tc>
        <w:tc>
          <w:tcPr>
            <w:tcW w:w="6169" w:type="dxa"/>
            <w:noWrap/>
            <w:vAlign w:val="center"/>
          </w:tcPr>
          <w:p>
            <w:r>
              <w:rPr>
                <w:rFonts w:hint="eastAsia"/>
                <w:b/>
                <w:bCs/>
                <w:color w:val="FF0000"/>
              </w:rPr>
              <w:t>1、▲风冷型房间级精密空调，上送风，制冷量≥7.1kW，显热制冷量≥6.8kW，风量≥2300m3/h，能效比≥3.0（工况：室内侧回风干球温度24℃（等同于湿球温度17℃）的条件下测得；室外侧（放热侧）干球温度35℃下测得），需提供投标产品同系列产品在该工况下</w:t>
            </w:r>
            <w:r>
              <w:rPr>
                <w:rFonts w:hint="eastAsia"/>
                <w:b/>
                <w:bCs/>
                <w:color w:val="FF0000"/>
                <w:lang w:val="en-US" w:eastAsia="zh-CN"/>
              </w:rPr>
              <w:t>由</w:t>
            </w:r>
            <w:r>
              <w:rPr>
                <w:rFonts w:hint="eastAsia"/>
                <w:b/>
                <w:bCs/>
                <w:color w:val="FF0000"/>
              </w:rPr>
              <w:t>第三方机构</w:t>
            </w:r>
            <w:r>
              <w:rPr>
                <w:rFonts w:hint="eastAsia"/>
                <w:b/>
                <w:bCs/>
                <w:color w:val="FF0000"/>
                <w:lang w:val="en-US" w:eastAsia="zh-CN"/>
              </w:rPr>
              <w:t>出具的</w:t>
            </w:r>
            <w:r>
              <w:rPr>
                <w:rFonts w:hint="eastAsia"/>
                <w:b/>
                <w:bCs/>
                <w:color w:val="FF0000"/>
              </w:rPr>
              <w:t>性能测试报告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2、精密空调应具有良好性能指标，可满足高效节能的要求，精密空调主要指标不应低于以下要求：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1）输入电压允许波动范围：380V±10%，频率：50Hz±2Hz；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2）空调适应性：室内0℃～40℃，室外-15℃～45℃；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3）温度调节范围：+17℃~+28℃，温度调节精度：±1℃ ，温度变化率&lt;5℃/小时；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3、为保证良好的制冷效果，EC风机应采用选用较大送风量的风机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b/>
                <w:bCs/>
                <w:color w:val="FF0000"/>
              </w:rPr>
              <w:t>4、★为保证机房专用空调节能性，要求采用高效可靠的压缩机，提供投标同系列产品的中国节能产品认证证书</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noWrap/>
            <w:vAlign w:val="center"/>
          </w:tcPr>
          <w:p>
            <w:r>
              <w:rPr>
                <w:rFonts w:hint="eastAsia"/>
              </w:rPr>
              <w:t>动环系统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3.1</w:t>
            </w:r>
          </w:p>
        </w:tc>
        <w:tc>
          <w:tcPr>
            <w:tcW w:w="1406" w:type="dxa"/>
            <w:vMerge w:val="restart"/>
            <w:noWrap/>
            <w:vAlign w:val="center"/>
          </w:tcPr>
          <w:p>
            <w:r>
              <w:rPr>
                <w:rFonts w:hint="eastAsia"/>
              </w:rPr>
              <w:t>机房动环监控系统</w:t>
            </w:r>
          </w:p>
        </w:tc>
        <w:tc>
          <w:tcPr>
            <w:tcW w:w="6169" w:type="dxa"/>
            <w:noWrap/>
            <w:vAlign w:val="center"/>
          </w:tcPr>
          <w:p>
            <w:r>
              <w:rPr>
                <w:rFonts w:hint="eastAsia"/>
              </w:rPr>
              <w:t>1、WEB界面，B/S架构，软件稳定可靠，功能强大，可实现机房基础设施集中监控和管理，支持登录用户分区域管理，支持多用户，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2、丰富的报表，操作简单易用，界面美观，信息全面，并支持离线地图及设备列表等多种展示方式，</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3、用户可通过该软件实时掌握机房的运行状况，具备消息框报警、语音报警（需声卡和音箱）、手机短信报警（需短信模块）、电话语音报警（需电话语音模块）等报警功能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4、支持北向SNMP协议接口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noWrap/>
            <w:vAlign w:val="center"/>
          </w:tcPr>
          <w:p>
            <w:r>
              <w:rPr>
                <w:rFonts w:hint="eastAsia"/>
              </w:rPr>
              <w:t>5、含传感器及线缆敷设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noWrap/>
            <w:vAlign w:val="center"/>
          </w:tcPr>
          <w:p>
            <w:r>
              <w:rPr>
                <w:rFonts w:hint="eastAsia"/>
              </w:rPr>
              <w:t>机房桥架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vAlign w:val="center"/>
          </w:tcPr>
          <w:p>
            <w:r>
              <w:rPr>
                <w:rFonts w:hint="eastAsia"/>
              </w:rPr>
              <w:t>强电网格桥架</w:t>
            </w:r>
          </w:p>
        </w:tc>
        <w:tc>
          <w:tcPr>
            <w:tcW w:w="6169" w:type="dxa"/>
            <w:vAlign w:val="center"/>
          </w:tcPr>
          <w:p>
            <w:r>
              <w:rPr>
                <w:rFonts w:hint="eastAsia"/>
              </w:rPr>
              <w:t>安装敷设不锈钢强电桥架200~400mm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vAlign w:val="center"/>
          </w:tcPr>
          <w:p>
            <w:r>
              <w:rPr>
                <w:rFonts w:hint="eastAsia"/>
              </w:rPr>
              <w:t>弱电网格桥架</w:t>
            </w:r>
          </w:p>
        </w:tc>
        <w:tc>
          <w:tcPr>
            <w:tcW w:w="6169" w:type="dxa"/>
            <w:vAlign w:val="center"/>
          </w:tcPr>
          <w:p>
            <w:r>
              <w:rPr>
                <w:rFonts w:hint="eastAsia"/>
              </w:rPr>
              <w:t>安装敷设不锈钢强弱桥架200~400mm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7575" w:type="dxa"/>
            <w:gridSpan w:val="2"/>
            <w:noWrap/>
            <w:vAlign w:val="center"/>
          </w:tcPr>
          <w:p>
            <w:r>
              <w:rPr>
                <w:rFonts w:hint="eastAsia"/>
              </w:rPr>
              <w:t>机房综合布线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5.1</w:t>
            </w:r>
          </w:p>
        </w:tc>
        <w:tc>
          <w:tcPr>
            <w:tcW w:w="1406" w:type="dxa"/>
            <w:noWrap/>
            <w:vAlign w:val="center"/>
          </w:tcPr>
          <w:p>
            <w:r>
              <w:rPr>
                <w:rFonts w:hint="eastAsia"/>
              </w:rPr>
              <w:t>光缆</w:t>
            </w:r>
          </w:p>
        </w:tc>
        <w:tc>
          <w:tcPr>
            <w:tcW w:w="6169" w:type="dxa"/>
            <w:vAlign w:val="center"/>
          </w:tcPr>
          <w:p>
            <w:r>
              <w:rPr>
                <w:rFonts w:hint="eastAsia"/>
              </w:rPr>
              <w:t>24芯单模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5.2</w:t>
            </w:r>
          </w:p>
        </w:tc>
        <w:tc>
          <w:tcPr>
            <w:tcW w:w="1406" w:type="dxa"/>
            <w:noWrap/>
            <w:vAlign w:val="center"/>
          </w:tcPr>
          <w:p>
            <w:r>
              <w:rPr>
                <w:rFonts w:hint="eastAsia"/>
              </w:rPr>
              <w:t>光纤分配架</w:t>
            </w:r>
          </w:p>
        </w:tc>
        <w:tc>
          <w:tcPr>
            <w:tcW w:w="6169" w:type="dxa"/>
            <w:vAlign w:val="center"/>
          </w:tcPr>
          <w:p>
            <w:r>
              <w:rPr>
                <w:rFonts w:hint="eastAsia"/>
              </w:rPr>
              <w:t>24口单模光纤分配架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5.3</w:t>
            </w:r>
          </w:p>
        </w:tc>
        <w:tc>
          <w:tcPr>
            <w:tcW w:w="1406" w:type="dxa"/>
            <w:noWrap/>
            <w:vAlign w:val="center"/>
          </w:tcPr>
          <w:p>
            <w:r>
              <w:rPr>
                <w:rFonts w:hint="eastAsia"/>
              </w:rPr>
              <w:t>网线</w:t>
            </w:r>
          </w:p>
        </w:tc>
        <w:tc>
          <w:tcPr>
            <w:tcW w:w="6169" w:type="dxa"/>
            <w:vAlign w:val="center"/>
          </w:tcPr>
          <w:p>
            <w:r>
              <w:rPr>
                <w:rFonts w:hint="eastAsia"/>
              </w:rPr>
              <w:t>六类网线，含机柜内敷设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5.4</w:t>
            </w:r>
          </w:p>
        </w:tc>
        <w:tc>
          <w:tcPr>
            <w:tcW w:w="1406" w:type="dxa"/>
            <w:noWrap/>
            <w:vAlign w:val="center"/>
          </w:tcPr>
          <w:p>
            <w:r>
              <w:rPr>
                <w:rFonts w:hint="eastAsia"/>
              </w:rPr>
              <w:t>网络配线架</w:t>
            </w:r>
          </w:p>
        </w:tc>
        <w:tc>
          <w:tcPr>
            <w:tcW w:w="6169" w:type="dxa"/>
            <w:vAlign w:val="center"/>
          </w:tcPr>
          <w:p>
            <w:r>
              <w:rPr>
                <w:rFonts w:hint="eastAsia"/>
              </w:rPr>
              <w:t>24口，非屏蔽，六类（含模块）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5.5</w:t>
            </w:r>
          </w:p>
        </w:tc>
        <w:tc>
          <w:tcPr>
            <w:tcW w:w="1406" w:type="dxa"/>
            <w:noWrap/>
            <w:vAlign w:val="center"/>
          </w:tcPr>
          <w:p>
            <w:r>
              <w:rPr>
                <w:rFonts w:hint="eastAsia"/>
              </w:rPr>
              <w:t>理线架</w:t>
            </w:r>
          </w:p>
        </w:tc>
        <w:tc>
          <w:tcPr>
            <w:tcW w:w="6169" w:type="dxa"/>
            <w:vAlign w:val="center"/>
          </w:tcPr>
          <w:p>
            <w:r>
              <w:rPr>
                <w:rFonts w:hint="eastAsia"/>
              </w:rPr>
              <w:t>网络理线架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5.6</w:t>
            </w:r>
          </w:p>
        </w:tc>
        <w:tc>
          <w:tcPr>
            <w:tcW w:w="1406" w:type="dxa"/>
            <w:vAlign w:val="center"/>
          </w:tcPr>
          <w:p>
            <w:r>
              <w:rPr>
                <w:rFonts w:hint="eastAsia"/>
              </w:rPr>
              <w:t>网络跳线</w:t>
            </w:r>
          </w:p>
        </w:tc>
        <w:tc>
          <w:tcPr>
            <w:tcW w:w="6169" w:type="dxa"/>
            <w:vAlign w:val="center"/>
          </w:tcPr>
          <w:p>
            <w:r>
              <w:rPr>
                <w:rFonts w:hint="eastAsia"/>
              </w:rPr>
              <w:t>4对六类非屏蔽软跳线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二</w:t>
            </w:r>
          </w:p>
        </w:tc>
        <w:tc>
          <w:tcPr>
            <w:tcW w:w="7575" w:type="dxa"/>
            <w:gridSpan w:val="2"/>
            <w:noWrap/>
            <w:vAlign w:val="center"/>
          </w:tcPr>
          <w:p>
            <w:r>
              <w:rPr>
                <w:rFonts w:hint="eastAsia"/>
              </w:rPr>
              <w:t>海关信息机房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noWrap/>
            <w:vAlign w:val="center"/>
          </w:tcPr>
          <w:p>
            <w:r>
              <w:rPr>
                <w:rFonts w:hint="eastAsia"/>
              </w:rPr>
              <w:t>模块化机柜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1.1</w:t>
            </w:r>
          </w:p>
        </w:tc>
        <w:tc>
          <w:tcPr>
            <w:tcW w:w="1406" w:type="dxa"/>
            <w:noWrap/>
            <w:vAlign w:val="center"/>
          </w:tcPr>
          <w:p>
            <w:r>
              <w:rPr>
                <w:rFonts w:hint="eastAsia"/>
              </w:rPr>
              <w:t>服务器机柜</w:t>
            </w:r>
          </w:p>
        </w:tc>
        <w:tc>
          <w:tcPr>
            <w:tcW w:w="6169" w:type="dxa"/>
            <w:noWrap/>
            <w:vAlign w:val="center"/>
          </w:tcPr>
          <w:p>
            <w:r>
              <w:rPr>
                <w:rFonts w:hint="eastAsia"/>
              </w:rPr>
              <w:t>参数同上口岸信息机房“服务器机柜”</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1406" w:type="dxa"/>
            <w:noWrap/>
            <w:vAlign w:val="center"/>
          </w:tcPr>
          <w:p>
            <w:r>
              <w:rPr>
                <w:rFonts w:hint="eastAsia"/>
              </w:rPr>
              <w:t>密闭通道组件</w:t>
            </w:r>
          </w:p>
        </w:tc>
        <w:tc>
          <w:tcPr>
            <w:tcW w:w="6169" w:type="dxa"/>
            <w:vAlign w:val="center"/>
          </w:tcPr>
          <w:p>
            <w:r>
              <w:rPr>
                <w:rFonts w:hint="eastAsia"/>
              </w:rPr>
              <w:t>参数同上口岸信息机房“密闭通道组件”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1.3</w:t>
            </w:r>
          </w:p>
        </w:tc>
        <w:tc>
          <w:tcPr>
            <w:tcW w:w="1406" w:type="dxa"/>
            <w:noWrap/>
            <w:vAlign w:val="center"/>
          </w:tcPr>
          <w:p>
            <w:r>
              <w:rPr>
                <w:rFonts w:hint="eastAsia"/>
              </w:rPr>
              <w:t>精密空调1</w:t>
            </w:r>
          </w:p>
        </w:tc>
        <w:tc>
          <w:tcPr>
            <w:tcW w:w="6169" w:type="dxa"/>
            <w:vAlign w:val="center"/>
          </w:tcPr>
          <w:p>
            <w:r>
              <w:rPr>
                <w:rFonts w:hint="eastAsia"/>
              </w:rPr>
              <w:t>参数同上口岸信息机房“精密空调1”</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1.4</w:t>
            </w:r>
          </w:p>
        </w:tc>
        <w:tc>
          <w:tcPr>
            <w:tcW w:w="1406" w:type="dxa"/>
            <w:noWrap/>
            <w:vAlign w:val="center"/>
          </w:tcPr>
          <w:p>
            <w:r>
              <w:rPr>
                <w:rFonts w:hint="eastAsia"/>
              </w:rPr>
              <w:t>监控组件</w:t>
            </w:r>
          </w:p>
        </w:tc>
        <w:tc>
          <w:tcPr>
            <w:tcW w:w="6169" w:type="dxa"/>
            <w:vAlign w:val="center"/>
          </w:tcPr>
          <w:p>
            <w:r>
              <w:rPr>
                <w:rFonts w:hint="eastAsia"/>
              </w:rPr>
              <w:t>参数同上口岸信息机房“监控组件”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1.5</w:t>
            </w:r>
          </w:p>
        </w:tc>
        <w:tc>
          <w:tcPr>
            <w:tcW w:w="1406" w:type="dxa"/>
            <w:noWrap/>
            <w:vAlign w:val="center"/>
          </w:tcPr>
          <w:p>
            <w:r>
              <w:rPr>
                <w:rFonts w:hint="eastAsia"/>
              </w:rPr>
              <w:t>成套线缆</w:t>
            </w:r>
          </w:p>
        </w:tc>
        <w:tc>
          <w:tcPr>
            <w:tcW w:w="6169" w:type="dxa"/>
            <w:vAlign w:val="center"/>
          </w:tcPr>
          <w:p>
            <w:r>
              <w:rPr>
                <w:rFonts w:hint="eastAsia"/>
              </w:rPr>
              <w:t>微模块各个部件之间的功率线缆、信号线缆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noWrap/>
            <w:vAlign w:val="center"/>
          </w:tcPr>
          <w:p>
            <w:r>
              <w:rPr>
                <w:rFonts w:hint="eastAsia"/>
              </w:rPr>
              <w:t>供配电、UPS、空调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2.1</w:t>
            </w:r>
          </w:p>
        </w:tc>
        <w:tc>
          <w:tcPr>
            <w:tcW w:w="1406" w:type="dxa"/>
            <w:noWrap/>
            <w:vAlign w:val="center"/>
          </w:tcPr>
          <w:p>
            <w:r>
              <w:rPr>
                <w:rFonts w:hint="eastAsia"/>
              </w:rPr>
              <w:t>市电总配电柜</w:t>
            </w:r>
          </w:p>
        </w:tc>
        <w:tc>
          <w:tcPr>
            <w:tcW w:w="6169" w:type="dxa"/>
            <w:vAlign w:val="center"/>
          </w:tcPr>
          <w:p>
            <w:r>
              <w:rPr>
                <w:rFonts w:hint="eastAsia"/>
              </w:rPr>
              <w:t>含柜体、ATS切换开关、塑壳开关、电量仪、保护开关等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2.2</w:t>
            </w:r>
          </w:p>
        </w:tc>
        <w:tc>
          <w:tcPr>
            <w:tcW w:w="1406" w:type="dxa"/>
            <w:noWrap/>
            <w:vAlign w:val="center"/>
          </w:tcPr>
          <w:p>
            <w:r>
              <w:rPr>
                <w:rFonts w:hint="eastAsia"/>
              </w:rPr>
              <w:t>UPS输出柜</w:t>
            </w:r>
          </w:p>
        </w:tc>
        <w:tc>
          <w:tcPr>
            <w:tcW w:w="6169" w:type="dxa"/>
            <w:vAlign w:val="center"/>
          </w:tcPr>
          <w:p>
            <w:r>
              <w:rPr>
                <w:rFonts w:hint="eastAsia"/>
              </w:rPr>
              <w:t>含柜体、电量仪、塑壳开关、微断开关、保护开关等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2.3</w:t>
            </w:r>
          </w:p>
        </w:tc>
        <w:tc>
          <w:tcPr>
            <w:tcW w:w="1406" w:type="dxa"/>
            <w:noWrap/>
            <w:vAlign w:val="center"/>
          </w:tcPr>
          <w:p>
            <w:r>
              <w:rPr>
                <w:rFonts w:hint="eastAsia"/>
              </w:rPr>
              <w:t>电力电缆</w:t>
            </w:r>
          </w:p>
        </w:tc>
        <w:tc>
          <w:tcPr>
            <w:tcW w:w="6169" w:type="dxa"/>
            <w:vAlign w:val="center"/>
          </w:tcPr>
          <w:p>
            <w:r>
              <w:rPr>
                <w:rFonts w:hint="eastAsia"/>
              </w:rPr>
              <w:t>含主输入端电缆、输出电缆等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2.4</w:t>
            </w:r>
          </w:p>
        </w:tc>
        <w:tc>
          <w:tcPr>
            <w:tcW w:w="1406" w:type="dxa"/>
            <w:noWrap/>
            <w:vAlign w:val="center"/>
          </w:tcPr>
          <w:p>
            <w:r>
              <w:rPr>
                <w:rFonts w:hint="eastAsia"/>
              </w:rPr>
              <w:t>机房用UPS系统</w:t>
            </w:r>
          </w:p>
        </w:tc>
        <w:tc>
          <w:tcPr>
            <w:tcW w:w="6169" w:type="dxa"/>
            <w:vAlign w:val="center"/>
          </w:tcPr>
          <w:p>
            <w:r>
              <w:rPr>
                <w:rFonts w:hint="eastAsia"/>
              </w:rPr>
              <w:t>参数同上口岸信息机房“机房用UPS系统”</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2.5</w:t>
            </w:r>
          </w:p>
        </w:tc>
        <w:tc>
          <w:tcPr>
            <w:tcW w:w="1406" w:type="dxa"/>
            <w:noWrap/>
            <w:vAlign w:val="center"/>
          </w:tcPr>
          <w:p>
            <w:r>
              <w:rPr>
                <w:rFonts w:hint="eastAsia"/>
              </w:rPr>
              <w:t>蓄电池</w:t>
            </w:r>
          </w:p>
        </w:tc>
        <w:tc>
          <w:tcPr>
            <w:tcW w:w="6169" w:type="dxa"/>
            <w:vAlign w:val="center"/>
          </w:tcPr>
          <w:p>
            <w:r>
              <w:rPr>
                <w:rFonts w:hint="eastAsia"/>
              </w:rPr>
              <w:t>参数同上口岸信息机房“蓄电池”</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2.6</w:t>
            </w:r>
          </w:p>
        </w:tc>
        <w:tc>
          <w:tcPr>
            <w:tcW w:w="1406" w:type="dxa"/>
            <w:noWrap/>
            <w:vAlign w:val="center"/>
          </w:tcPr>
          <w:p>
            <w:r>
              <w:rPr>
                <w:rFonts w:hint="eastAsia"/>
              </w:rPr>
              <w:t>电池柜及电源线</w:t>
            </w:r>
          </w:p>
        </w:tc>
        <w:tc>
          <w:tcPr>
            <w:tcW w:w="6169" w:type="dxa"/>
            <w:vAlign w:val="center"/>
          </w:tcPr>
          <w:p>
            <w:r>
              <w:rPr>
                <w:rFonts w:hint="eastAsia"/>
              </w:rPr>
              <w:t>定制，规格1200*1100mm，含电池柜配套线缆辅料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2.7</w:t>
            </w:r>
          </w:p>
        </w:tc>
        <w:tc>
          <w:tcPr>
            <w:tcW w:w="1406" w:type="dxa"/>
            <w:noWrap/>
            <w:vAlign w:val="center"/>
          </w:tcPr>
          <w:p>
            <w:r>
              <w:rPr>
                <w:rFonts w:hint="eastAsia"/>
              </w:rPr>
              <w:t>精密空调2</w:t>
            </w:r>
          </w:p>
        </w:tc>
        <w:tc>
          <w:tcPr>
            <w:tcW w:w="6169" w:type="dxa"/>
            <w:vAlign w:val="center"/>
          </w:tcPr>
          <w:p>
            <w:r>
              <w:rPr>
                <w:rFonts w:hint="eastAsia"/>
              </w:rPr>
              <w:t>参数同上口岸信息机房“精密空调2”</w:t>
            </w:r>
            <w:r>
              <w:rPr>
                <w:rFonts w:hint="eastAsia"/>
                <w:lang w:eastAsia="zh-CN"/>
              </w:rPr>
              <w:t>（</w:t>
            </w:r>
            <w:r>
              <w:rPr>
                <w:rFonts w:hint="eastAsia"/>
                <w:lang w:val="en-US" w:eastAsia="zh-CN"/>
              </w:rPr>
              <w:t>此处不重复扣分</w:t>
            </w:r>
            <w:r>
              <w:rPr>
                <w:rFonts w:hint="eastAsia"/>
                <w:lang w:eastAsia="zh-CN"/>
              </w:rPr>
              <w:t>）</w:t>
            </w:r>
          </w:p>
        </w:tc>
      </w:tr>
      <w:tr>
        <w:tblPrEx>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noWrap/>
            <w:vAlign w:val="center"/>
          </w:tcPr>
          <w:p>
            <w:r>
              <w:rPr>
                <w:rFonts w:hint="eastAsia"/>
              </w:rPr>
              <w:t>动环系统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w:t>
            </w:r>
          </w:p>
        </w:tc>
        <w:tc>
          <w:tcPr>
            <w:tcW w:w="1406" w:type="dxa"/>
            <w:noWrap/>
            <w:vAlign w:val="center"/>
          </w:tcPr>
          <w:p>
            <w:r>
              <w:rPr>
                <w:rFonts w:hint="eastAsia"/>
              </w:rPr>
              <w:t>机房动环监控系统</w:t>
            </w:r>
          </w:p>
        </w:tc>
        <w:tc>
          <w:tcPr>
            <w:tcW w:w="6169" w:type="dxa"/>
            <w:noWrap/>
            <w:vAlign w:val="center"/>
          </w:tcPr>
          <w:p>
            <w:r>
              <w:rPr>
                <w:rFonts w:hint="eastAsia"/>
              </w:rPr>
              <w:t xml:space="preserve">参数同上口岸信息机房“机房动环监控系统” </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noWrap/>
            <w:vAlign w:val="center"/>
          </w:tcPr>
          <w:p>
            <w:r>
              <w:rPr>
                <w:rFonts w:hint="eastAsia"/>
              </w:rPr>
              <w:t>机房桥架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vAlign w:val="center"/>
          </w:tcPr>
          <w:p>
            <w:r>
              <w:rPr>
                <w:rFonts w:hint="eastAsia"/>
              </w:rPr>
              <w:t>强电网格桥架</w:t>
            </w:r>
          </w:p>
        </w:tc>
        <w:tc>
          <w:tcPr>
            <w:tcW w:w="6169" w:type="dxa"/>
            <w:vAlign w:val="center"/>
          </w:tcPr>
          <w:p>
            <w:r>
              <w:rPr>
                <w:rFonts w:hint="eastAsia"/>
              </w:rPr>
              <w:t>安装敷设不锈钢强电桥架200~400mm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vAlign w:val="center"/>
          </w:tcPr>
          <w:p>
            <w:r>
              <w:rPr>
                <w:rFonts w:hint="eastAsia"/>
              </w:rPr>
              <w:t>弱电网格桥架</w:t>
            </w:r>
          </w:p>
        </w:tc>
        <w:tc>
          <w:tcPr>
            <w:tcW w:w="6169" w:type="dxa"/>
            <w:vAlign w:val="center"/>
          </w:tcPr>
          <w:p>
            <w:r>
              <w:rPr>
                <w:rFonts w:hint="eastAsia"/>
              </w:rPr>
              <w:t>安装敷设不锈钢强弱桥架200~400mm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7575" w:type="dxa"/>
            <w:gridSpan w:val="2"/>
            <w:noWrap/>
            <w:vAlign w:val="center"/>
          </w:tcPr>
          <w:p>
            <w:r>
              <w:rPr>
                <w:rFonts w:hint="eastAsia"/>
              </w:rPr>
              <w:t>机房综合布线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5.1</w:t>
            </w:r>
          </w:p>
        </w:tc>
        <w:tc>
          <w:tcPr>
            <w:tcW w:w="1406" w:type="dxa"/>
            <w:noWrap/>
            <w:vAlign w:val="center"/>
          </w:tcPr>
          <w:p>
            <w:r>
              <w:rPr>
                <w:rFonts w:hint="eastAsia"/>
              </w:rPr>
              <w:t>光缆</w:t>
            </w:r>
          </w:p>
        </w:tc>
        <w:tc>
          <w:tcPr>
            <w:tcW w:w="6169" w:type="dxa"/>
            <w:vAlign w:val="center"/>
          </w:tcPr>
          <w:p>
            <w:r>
              <w:rPr>
                <w:rFonts w:hint="eastAsia"/>
              </w:rPr>
              <w:t>24芯单模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5.2</w:t>
            </w:r>
          </w:p>
        </w:tc>
        <w:tc>
          <w:tcPr>
            <w:tcW w:w="1406" w:type="dxa"/>
            <w:noWrap/>
            <w:vAlign w:val="center"/>
          </w:tcPr>
          <w:p>
            <w:r>
              <w:rPr>
                <w:rFonts w:hint="eastAsia"/>
              </w:rPr>
              <w:t>ODF架</w:t>
            </w:r>
          </w:p>
        </w:tc>
        <w:tc>
          <w:tcPr>
            <w:tcW w:w="6169" w:type="dxa"/>
            <w:vAlign w:val="center"/>
          </w:tcPr>
          <w:p>
            <w:r>
              <w:rPr>
                <w:rFonts w:hint="eastAsia"/>
              </w:rPr>
              <w:t>840*450*2600,满配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5.3</w:t>
            </w:r>
          </w:p>
        </w:tc>
        <w:tc>
          <w:tcPr>
            <w:tcW w:w="1406" w:type="dxa"/>
            <w:noWrap/>
            <w:vAlign w:val="center"/>
          </w:tcPr>
          <w:p>
            <w:r>
              <w:rPr>
                <w:rFonts w:hint="eastAsia"/>
              </w:rPr>
              <w:t>光纤分配架</w:t>
            </w:r>
          </w:p>
        </w:tc>
        <w:tc>
          <w:tcPr>
            <w:tcW w:w="6169" w:type="dxa"/>
            <w:vAlign w:val="center"/>
          </w:tcPr>
          <w:p>
            <w:r>
              <w:rPr>
                <w:rFonts w:hint="eastAsia"/>
              </w:rPr>
              <w:t>24口单模光纤分配架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5.4</w:t>
            </w:r>
          </w:p>
        </w:tc>
        <w:tc>
          <w:tcPr>
            <w:tcW w:w="1406" w:type="dxa"/>
            <w:noWrap/>
            <w:vAlign w:val="center"/>
          </w:tcPr>
          <w:p>
            <w:r>
              <w:rPr>
                <w:rFonts w:hint="eastAsia"/>
              </w:rPr>
              <w:t>网络配线架</w:t>
            </w:r>
          </w:p>
        </w:tc>
        <w:tc>
          <w:tcPr>
            <w:tcW w:w="6169" w:type="dxa"/>
            <w:vAlign w:val="center"/>
          </w:tcPr>
          <w:p>
            <w:r>
              <w:rPr>
                <w:rFonts w:hint="eastAsia"/>
              </w:rPr>
              <w:t>24口，非屏蔽，六类（含模块）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5.5</w:t>
            </w:r>
          </w:p>
        </w:tc>
        <w:tc>
          <w:tcPr>
            <w:tcW w:w="1406" w:type="dxa"/>
            <w:noWrap/>
            <w:vAlign w:val="center"/>
          </w:tcPr>
          <w:p>
            <w:r>
              <w:rPr>
                <w:rFonts w:hint="eastAsia"/>
              </w:rPr>
              <w:t>网线</w:t>
            </w:r>
          </w:p>
        </w:tc>
        <w:tc>
          <w:tcPr>
            <w:tcW w:w="6169" w:type="dxa"/>
            <w:vAlign w:val="center"/>
          </w:tcPr>
          <w:p>
            <w:r>
              <w:rPr>
                <w:rFonts w:hint="eastAsia"/>
              </w:rPr>
              <w:t>六类网线，含机柜内敷设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5.6</w:t>
            </w:r>
          </w:p>
        </w:tc>
        <w:tc>
          <w:tcPr>
            <w:tcW w:w="1406" w:type="dxa"/>
            <w:noWrap/>
            <w:vAlign w:val="center"/>
          </w:tcPr>
          <w:p>
            <w:r>
              <w:rPr>
                <w:rFonts w:hint="eastAsia"/>
              </w:rPr>
              <w:t>理线架</w:t>
            </w:r>
          </w:p>
        </w:tc>
        <w:tc>
          <w:tcPr>
            <w:tcW w:w="6169" w:type="dxa"/>
            <w:vAlign w:val="center"/>
          </w:tcPr>
          <w:p>
            <w:r>
              <w:rPr>
                <w:rFonts w:hint="eastAsia"/>
              </w:rPr>
              <w:t>网络理线架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5.7</w:t>
            </w:r>
          </w:p>
        </w:tc>
        <w:tc>
          <w:tcPr>
            <w:tcW w:w="1406" w:type="dxa"/>
            <w:vAlign w:val="center"/>
          </w:tcPr>
          <w:p>
            <w:r>
              <w:rPr>
                <w:rFonts w:hint="eastAsia"/>
              </w:rPr>
              <w:t>网络跳线</w:t>
            </w:r>
          </w:p>
        </w:tc>
        <w:tc>
          <w:tcPr>
            <w:tcW w:w="6169" w:type="dxa"/>
            <w:vAlign w:val="center"/>
          </w:tcPr>
          <w:p>
            <w:r>
              <w:rPr>
                <w:rFonts w:hint="eastAsia"/>
              </w:rPr>
              <w:t>4对六类非屏蔽软跳线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三</w:t>
            </w:r>
          </w:p>
        </w:tc>
        <w:tc>
          <w:tcPr>
            <w:tcW w:w="7575" w:type="dxa"/>
            <w:gridSpan w:val="2"/>
            <w:noWrap/>
            <w:vAlign w:val="center"/>
          </w:tcPr>
          <w:p>
            <w:r>
              <w:rPr>
                <w:rFonts w:hint="eastAsia"/>
              </w:rPr>
              <w:t>边检信息机房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noWrap/>
            <w:vAlign w:val="center"/>
          </w:tcPr>
          <w:p>
            <w:r>
              <w:rPr>
                <w:rFonts w:hint="eastAsia"/>
              </w:rPr>
              <w:t>模块化机柜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1.1</w:t>
            </w:r>
          </w:p>
        </w:tc>
        <w:tc>
          <w:tcPr>
            <w:tcW w:w="1406" w:type="dxa"/>
            <w:noWrap/>
            <w:vAlign w:val="center"/>
          </w:tcPr>
          <w:p>
            <w:r>
              <w:rPr>
                <w:rFonts w:hint="eastAsia"/>
              </w:rPr>
              <w:t>服务器机柜</w:t>
            </w:r>
          </w:p>
        </w:tc>
        <w:tc>
          <w:tcPr>
            <w:tcW w:w="6169" w:type="dxa"/>
            <w:vAlign w:val="center"/>
          </w:tcPr>
          <w:p>
            <w:r>
              <w:rPr>
                <w:rFonts w:hint="eastAsia"/>
              </w:rPr>
              <w:t>参数同上口岸信息机房“服务器机柜”</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1406" w:type="dxa"/>
            <w:noWrap/>
            <w:vAlign w:val="center"/>
          </w:tcPr>
          <w:p>
            <w:r>
              <w:rPr>
                <w:rFonts w:hint="eastAsia"/>
              </w:rPr>
              <w:t>密闭通道组件</w:t>
            </w:r>
          </w:p>
        </w:tc>
        <w:tc>
          <w:tcPr>
            <w:tcW w:w="6169" w:type="dxa"/>
            <w:vAlign w:val="center"/>
          </w:tcPr>
          <w:p>
            <w:r>
              <w:rPr>
                <w:rFonts w:hint="eastAsia"/>
              </w:rPr>
              <w:t>参数同上口岸信息机房“密闭通道组件”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1.3</w:t>
            </w:r>
          </w:p>
        </w:tc>
        <w:tc>
          <w:tcPr>
            <w:tcW w:w="1406" w:type="dxa"/>
            <w:noWrap/>
            <w:vAlign w:val="center"/>
          </w:tcPr>
          <w:p>
            <w:r>
              <w:rPr>
                <w:rFonts w:hint="eastAsia"/>
              </w:rPr>
              <w:t>配电柜</w:t>
            </w:r>
          </w:p>
        </w:tc>
        <w:tc>
          <w:tcPr>
            <w:tcW w:w="6169" w:type="dxa"/>
            <w:vAlign w:val="center"/>
          </w:tcPr>
          <w:p>
            <w:r>
              <w:rPr>
                <w:rFonts w:hint="eastAsia"/>
              </w:rPr>
              <w:t>参数同上口岸信息机房“配电柜”</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1.4</w:t>
            </w:r>
          </w:p>
        </w:tc>
        <w:tc>
          <w:tcPr>
            <w:tcW w:w="1406" w:type="dxa"/>
            <w:noWrap/>
            <w:vAlign w:val="center"/>
          </w:tcPr>
          <w:p>
            <w:r>
              <w:rPr>
                <w:rFonts w:hint="eastAsia"/>
              </w:rPr>
              <w:t>精密空调1</w:t>
            </w:r>
          </w:p>
        </w:tc>
        <w:tc>
          <w:tcPr>
            <w:tcW w:w="6169" w:type="dxa"/>
            <w:vAlign w:val="center"/>
          </w:tcPr>
          <w:p>
            <w:r>
              <w:rPr>
                <w:rFonts w:hint="eastAsia"/>
              </w:rPr>
              <w:t>参数同上口岸信息机房“精密空调1”</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1.5</w:t>
            </w:r>
          </w:p>
        </w:tc>
        <w:tc>
          <w:tcPr>
            <w:tcW w:w="1406" w:type="dxa"/>
            <w:noWrap/>
            <w:vAlign w:val="center"/>
          </w:tcPr>
          <w:p>
            <w:r>
              <w:rPr>
                <w:rFonts w:hint="eastAsia"/>
              </w:rPr>
              <w:t>监控组件</w:t>
            </w:r>
          </w:p>
        </w:tc>
        <w:tc>
          <w:tcPr>
            <w:tcW w:w="6169" w:type="dxa"/>
            <w:vAlign w:val="center"/>
          </w:tcPr>
          <w:p>
            <w:r>
              <w:rPr>
                <w:rFonts w:hint="eastAsia"/>
              </w:rPr>
              <w:t>参数同上口岸信息机房“监控组件”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1.6</w:t>
            </w:r>
          </w:p>
        </w:tc>
        <w:tc>
          <w:tcPr>
            <w:tcW w:w="1406" w:type="dxa"/>
            <w:noWrap/>
            <w:vAlign w:val="center"/>
          </w:tcPr>
          <w:p>
            <w:r>
              <w:rPr>
                <w:rFonts w:hint="eastAsia"/>
              </w:rPr>
              <w:t>成套线缆</w:t>
            </w:r>
          </w:p>
        </w:tc>
        <w:tc>
          <w:tcPr>
            <w:tcW w:w="6169" w:type="dxa"/>
            <w:vAlign w:val="center"/>
          </w:tcPr>
          <w:p>
            <w:r>
              <w:rPr>
                <w:rFonts w:hint="eastAsia"/>
              </w:rPr>
              <w:t>微模块各个部件之间的功率线缆、信号线缆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noWrap/>
            <w:vAlign w:val="center"/>
          </w:tcPr>
          <w:p>
            <w:r>
              <w:rPr>
                <w:rFonts w:hint="eastAsia"/>
              </w:rPr>
              <w:t>供配电、UPS、空调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2.1</w:t>
            </w:r>
          </w:p>
        </w:tc>
        <w:tc>
          <w:tcPr>
            <w:tcW w:w="1406" w:type="dxa"/>
            <w:noWrap/>
            <w:vAlign w:val="center"/>
          </w:tcPr>
          <w:p>
            <w:r>
              <w:rPr>
                <w:rFonts w:hint="eastAsia"/>
              </w:rPr>
              <w:t>市电总配电柜</w:t>
            </w:r>
          </w:p>
        </w:tc>
        <w:tc>
          <w:tcPr>
            <w:tcW w:w="6169" w:type="dxa"/>
            <w:vAlign w:val="center"/>
          </w:tcPr>
          <w:p>
            <w:r>
              <w:rPr>
                <w:rFonts w:hint="eastAsia"/>
              </w:rPr>
              <w:t>含柜体、ATS切换开关、塑壳开关、电量仪、保护开关等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2.2</w:t>
            </w:r>
          </w:p>
        </w:tc>
        <w:tc>
          <w:tcPr>
            <w:tcW w:w="1406" w:type="dxa"/>
            <w:noWrap/>
            <w:vAlign w:val="center"/>
          </w:tcPr>
          <w:p>
            <w:r>
              <w:rPr>
                <w:rFonts w:hint="eastAsia"/>
              </w:rPr>
              <w:t>UPS输出柜</w:t>
            </w:r>
          </w:p>
        </w:tc>
        <w:tc>
          <w:tcPr>
            <w:tcW w:w="6169" w:type="dxa"/>
            <w:vAlign w:val="center"/>
          </w:tcPr>
          <w:p>
            <w:r>
              <w:rPr>
                <w:rFonts w:hint="eastAsia"/>
              </w:rPr>
              <w:t>含柜体、电量仪、塑壳开关、微断开关、保护开关等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2.3</w:t>
            </w:r>
          </w:p>
        </w:tc>
        <w:tc>
          <w:tcPr>
            <w:tcW w:w="1406" w:type="dxa"/>
            <w:noWrap/>
            <w:vAlign w:val="center"/>
          </w:tcPr>
          <w:p>
            <w:r>
              <w:rPr>
                <w:rFonts w:hint="eastAsia"/>
              </w:rPr>
              <w:t>电力电缆</w:t>
            </w:r>
          </w:p>
        </w:tc>
        <w:tc>
          <w:tcPr>
            <w:tcW w:w="6169" w:type="dxa"/>
            <w:vAlign w:val="center"/>
          </w:tcPr>
          <w:p>
            <w:r>
              <w:rPr>
                <w:rFonts w:hint="eastAsia"/>
              </w:rPr>
              <w:t>含主输入端电缆、输出电缆等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2.4</w:t>
            </w:r>
          </w:p>
        </w:tc>
        <w:tc>
          <w:tcPr>
            <w:tcW w:w="1406" w:type="dxa"/>
            <w:noWrap/>
            <w:vAlign w:val="center"/>
          </w:tcPr>
          <w:p>
            <w:r>
              <w:rPr>
                <w:rFonts w:hint="eastAsia"/>
              </w:rPr>
              <w:t>机房用UPS系统</w:t>
            </w:r>
          </w:p>
        </w:tc>
        <w:tc>
          <w:tcPr>
            <w:tcW w:w="6169" w:type="dxa"/>
            <w:vAlign w:val="center"/>
          </w:tcPr>
          <w:p>
            <w:r>
              <w:rPr>
                <w:rFonts w:hint="eastAsia"/>
              </w:rPr>
              <w:t>参数同上口岸信息机房“机房用UPS系统”</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2.5</w:t>
            </w:r>
          </w:p>
        </w:tc>
        <w:tc>
          <w:tcPr>
            <w:tcW w:w="1406" w:type="dxa"/>
            <w:noWrap/>
            <w:vAlign w:val="center"/>
          </w:tcPr>
          <w:p>
            <w:r>
              <w:rPr>
                <w:rFonts w:hint="eastAsia"/>
              </w:rPr>
              <w:t>蓄电池</w:t>
            </w:r>
          </w:p>
        </w:tc>
        <w:tc>
          <w:tcPr>
            <w:tcW w:w="6169" w:type="dxa"/>
            <w:vAlign w:val="center"/>
          </w:tcPr>
          <w:p>
            <w:r>
              <w:rPr>
                <w:rFonts w:hint="eastAsia"/>
              </w:rPr>
              <w:t>参数同上口岸信息机房“蓄电池”</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2.6</w:t>
            </w:r>
          </w:p>
        </w:tc>
        <w:tc>
          <w:tcPr>
            <w:tcW w:w="1406" w:type="dxa"/>
            <w:noWrap/>
            <w:vAlign w:val="center"/>
          </w:tcPr>
          <w:p>
            <w:r>
              <w:rPr>
                <w:rFonts w:hint="eastAsia"/>
              </w:rPr>
              <w:t>电池柜及电源线</w:t>
            </w:r>
          </w:p>
        </w:tc>
        <w:tc>
          <w:tcPr>
            <w:tcW w:w="6169" w:type="dxa"/>
            <w:vAlign w:val="center"/>
          </w:tcPr>
          <w:p>
            <w:r>
              <w:rPr>
                <w:rFonts w:hint="eastAsia"/>
              </w:rPr>
              <w:t>定制，规格1200*1100mm，含电池柜配套线缆辅料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2.7</w:t>
            </w:r>
          </w:p>
        </w:tc>
        <w:tc>
          <w:tcPr>
            <w:tcW w:w="1406" w:type="dxa"/>
            <w:noWrap/>
            <w:vAlign w:val="center"/>
          </w:tcPr>
          <w:p>
            <w:r>
              <w:rPr>
                <w:rFonts w:hint="eastAsia"/>
              </w:rPr>
              <w:t>精密空调2</w:t>
            </w:r>
          </w:p>
        </w:tc>
        <w:tc>
          <w:tcPr>
            <w:tcW w:w="6169" w:type="dxa"/>
            <w:vAlign w:val="center"/>
          </w:tcPr>
          <w:p>
            <w:r>
              <w:rPr>
                <w:rFonts w:hint="eastAsia"/>
              </w:rPr>
              <w:t>参数同上口岸信息机房“精密空调2”</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noWrap/>
            <w:vAlign w:val="center"/>
          </w:tcPr>
          <w:p>
            <w:r>
              <w:rPr>
                <w:rFonts w:hint="eastAsia"/>
              </w:rPr>
              <w:t>动环系统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w:t>
            </w:r>
          </w:p>
        </w:tc>
        <w:tc>
          <w:tcPr>
            <w:tcW w:w="1406" w:type="dxa"/>
            <w:noWrap/>
            <w:vAlign w:val="center"/>
          </w:tcPr>
          <w:p>
            <w:r>
              <w:rPr>
                <w:rFonts w:hint="eastAsia"/>
              </w:rPr>
              <w:t>机房动环监控系统</w:t>
            </w:r>
          </w:p>
        </w:tc>
        <w:tc>
          <w:tcPr>
            <w:tcW w:w="6169" w:type="dxa"/>
            <w:noWrap/>
            <w:vAlign w:val="center"/>
          </w:tcPr>
          <w:p>
            <w:r>
              <w:rPr>
                <w:rFonts w:hint="eastAsia"/>
              </w:rPr>
              <w:t xml:space="preserve">参数同上口岸信息机房“机房动环监控系统” </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noWrap/>
            <w:vAlign w:val="center"/>
          </w:tcPr>
          <w:p>
            <w:r>
              <w:rPr>
                <w:rFonts w:hint="eastAsia"/>
              </w:rPr>
              <w:t>机房桥架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vAlign w:val="center"/>
          </w:tcPr>
          <w:p>
            <w:r>
              <w:rPr>
                <w:rFonts w:hint="eastAsia"/>
              </w:rPr>
              <w:t>强电网格桥架</w:t>
            </w:r>
          </w:p>
        </w:tc>
        <w:tc>
          <w:tcPr>
            <w:tcW w:w="6169" w:type="dxa"/>
            <w:vAlign w:val="center"/>
          </w:tcPr>
          <w:p>
            <w:r>
              <w:rPr>
                <w:rFonts w:hint="eastAsia"/>
              </w:rPr>
              <w:t>安装敷设不锈钢强电桥架200~400mm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vAlign w:val="center"/>
          </w:tcPr>
          <w:p>
            <w:r>
              <w:rPr>
                <w:rFonts w:hint="eastAsia"/>
              </w:rPr>
              <w:t>弱电网格桥架</w:t>
            </w:r>
          </w:p>
        </w:tc>
        <w:tc>
          <w:tcPr>
            <w:tcW w:w="6169" w:type="dxa"/>
            <w:vAlign w:val="center"/>
          </w:tcPr>
          <w:p>
            <w:r>
              <w:rPr>
                <w:rFonts w:hint="eastAsia"/>
              </w:rPr>
              <w:t>安装敷设不锈钢强弱桥架200~400mm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7575" w:type="dxa"/>
            <w:gridSpan w:val="2"/>
            <w:noWrap/>
            <w:vAlign w:val="center"/>
          </w:tcPr>
          <w:p>
            <w:r>
              <w:rPr>
                <w:rFonts w:hint="eastAsia"/>
              </w:rPr>
              <w:t>机房综合布线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5.1</w:t>
            </w:r>
          </w:p>
        </w:tc>
        <w:tc>
          <w:tcPr>
            <w:tcW w:w="1406" w:type="dxa"/>
            <w:noWrap/>
            <w:vAlign w:val="center"/>
          </w:tcPr>
          <w:p>
            <w:r>
              <w:rPr>
                <w:rFonts w:hint="eastAsia"/>
              </w:rPr>
              <w:t>光缆</w:t>
            </w:r>
          </w:p>
        </w:tc>
        <w:tc>
          <w:tcPr>
            <w:tcW w:w="6169" w:type="dxa"/>
            <w:vAlign w:val="center"/>
          </w:tcPr>
          <w:p>
            <w:r>
              <w:rPr>
                <w:rFonts w:hint="eastAsia"/>
              </w:rPr>
              <w:t>24芯单模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5.2</w:t>
            </w:r>
          </w:p>
        </w:tc>
        <w:tc>
          <w:tcPr>
            <w:tcW w:w="1406" w:type="dxa"/>
            <w:noWrap/>
            <w:vAlign w:val="center"/>
          </w:tcPr>
          <w:p>
            <w:r>
              <w:rPr>
                <w:rFonts w:hint="eastAsia"/>
              </w:rPr>
              <w:t>光纤分配架</w:t>
            </w:r>
          </w:p>
        </w:tc>
        <w:tc>
          <w:tcPr>
            <w:tcW w:w="6169" w:type="dxa"/>
            <w:vAlign w:val="center"/>
          </w:tcPr>
          <w:p>
            <w:r>
              <w:rPr>
                <w:rFonts w:hint="eastAsia"/>
              </w:rPr>
              <w:t>24口单模光纤分配架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5.3</w:t>
            </w:r>
          </w:p>
        </w:tc>
        <w:tc>
          <w:tcPr>
            <w:tcW w:w="1406" w:type="dxa"/>
            <w:noWrap/>
            <w:vAlign w:val="center"/>
          </w:tcPr>
          <w:p>
            <w:r>
              <w:rPr>
                <w:rFonts w:hint="eastAsia"/>
              </w:rPr>
              <w:t>网线</w:t>
            </w:r>
          </w:p>
        </w:tc>
        <w:tc>
          <w:tcPr>
            <w:tcW w:w="6169" w:type="dxa"/>
            <w:vAlign w:val="center"/>
          </w:tcPr>
          <w:p>
            <w:r>
              <w:rPr>
                <w:rFonts w:hint="eastAsia"/>
              </w:rPr>
              <w:t>六类网线，含机柜内敷设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5.4</w:t>
            </w:r>
          </w:p>
        </w:tc>
        <w:tc>
          <w:tcPr>
            <w:tcW w:w="1406" w:type="dxa"/>
            <w:noWrap/>
            <w:vAlign w:val="center"/>
          </w:tcPr>
          <w:p>
            <w:r>
              <w:rPr>
                <w:rFonts w:hint="eastAsia"/>
              </w:rPr>
              <w:t>网络配线架</w:t>
            </w:r>
          </w:p>
        </w:tc>
        <w:tc>
          <w:tcPr>
            <w:tcW w:w="6169" w:type="dxa"/>
            <w:vAlign w:val="center"/>
          </w:tcPr>
          <w:p>
            <w:r>
              <w:rPr>
                <w:rFonts w:hint="eastAsia"/>
              </w:rPr>
              <w:t>24口，非屏蔽，六类（含模块）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5.5</w:t>
            </w:r>
          </w:p>
        </w:tc>
        <w:tc>
          <w:tcPr>
            <w:tcW w:w="1406" w:type="dxa"/>
            <w:noWrap/>
            <w:vAlign w:val="center"/>
          </w:tcPr>
          <w:p>
            <w:r>
              <w:rPr>
                <w:rFonts w:hint="eastAsia"/>
              </w:rPr>
              <w:t>理线架</w:t>
            </w:r>
          </w:p>
        </w:tc>
        <w:tc>
          <w:tcPr>
            <w:tcW w:w="6169" w:type="dxa"/>
            <w:vAlign w:val="center"/>
          </w:tcPr>
          <w:p>
            <w:r>
              <w:rPr>
                <w:rFonts w:hint="eastAsia"/>
              </w:rPr>
              <w:t>网络理线架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5.6</w:t>
            </w:r>
          </w:p>
        </w:tc>
        <w:tc>
          <w:tcPr>
            <w:tcW w:w="1406" w:type="dxa"/>
            <w:vAlign w:val="center"/>
          </w:tcPr>
          <w:p>
            <w:r>
              <w:rPr>
                <w:rFonts w:hint="eastAsia"/>
              </w:rPr>
              <w:t>网络跳线</w:t>
            </w:r>
          </w:p>
        </w:tc>
        <w:tc>
          <w:tcPr>
            <w:tcW w:w="6169" w:type="dxa"/>
            <w:vAlign w:val="center"/>
          </w:tcPr>
          <w:p>
            <w:r>
              <w:rPr>
                <w:rFonts w:hint="eastAsia"/>
              </w:rPr>
              <w:t>4对六类非屏蔽软跳线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四</w:t>
            </w:r>
          </w:p>
        </w:tc>
        <w:tc>
          <w:tcPr>
            <w:tcW w:w="7575" w:type="dxa"/>
            <w:gridSpan w:val="2"/>
            <w:noWrap/>
            <w:vAlign w:val="center"/>
          </w:tcPr>
          <w:p>
            <w:r>
              <w:rPr>
                <w:rFonts w:hint="eastAsia"/>
              </w:rPr>
              <w:t>缉私局信息机房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noWrap/>
            <w:vAlign w:val="center"/>
          </w:tcPr>
          <w:p>
            <w:r>
              <w:rPr>
                <w:rFonts w:hint="eastAsia"/>
              </w:rPr>
              <w:t>模块化机柜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1.1</w:t>
            </w:r>
          </w:p>
        </w:tc>
        <w:tc>
          <w:tcPr>
            <w:tcW w:w="1406" w:type="dxa"/>
            <w:noWrap/>
            <w:vAlign w:val="center"/>
          </w:tcPr>
          <w:p>
            <w:r>
              <w:rPr>
                <w:rFonts w:hint="eastAsia"/>
              </w:rPr>
              <w:t>服务器机柜</w:t>
            </w:r>
          </w:p>
        </w:tc>
        <w:tc>
          <w:tcPr>
            <w:tcW w:w="6169" w:type="dxa"/>
            <w:vAlign w:val="center"/>
          </w:tcPr>
          <w:p>
            <w:r>
              <w:rPr>
                <w:rFonts w:hint="eastAsia"/>
              </w:rPr>
              <w:t>参数同上口岸信息机房“服务器机柜”</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1406" w:type="dxa"/>
            <w:noWrap/>
            <w:vAlign w:val="center"/>
          </w:tcPr>
          <w:p>
            <w:r>
              <w:rPr>
                <w:rFonts w:hint="eastAsia"/>
              </w:rPr>
              <w:t>密闭通道组件</w:t>
            </w:r>
          </w:p>
        </w:tc>
        <w:tc>
          <w:tcPr>
            <w:tcW w:w="6169" w:type="dxa"/>
            <w:vAlign w:val="center"/>
          </w:tcPr>
          <w:p>
            <w:r>
              <w:rPr>
                <w:rFonts w:hint="eastAsia"/>
              </w:rPr>
              <w:t>参数同上口岸信息机房“密闭通道组件”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1.3</w:t>
            </w:r>
          </w:p>
        </w:tc>
        <w:tc>
          <w:tcPr>
            <w:tcW w:w="1406" w:type="dxa"/>
            <w:noWrap/>
            <w:vAlign w:val="center"/>
          </w:tcPr>
          <w:p>
            <w:r>
              <w:rPr>
                <w:rFonts w:hint="eastAsia"/>
              </w:rPr>
              <w:t>精密空调1</w:t>
            </w:r>
          </w:p>
        </w:tc>
        <w:tc>
          <w:tcPr>
            <w:tcW w:w="6169" w:type="dxa"/>
            <w:vAlign w:val="center"/>
          </w:tcPr>
          <w:p>
            <w:r>
              <w:rPr>
                <w:rFonts w:hint="eastAsia"/>
              </w:rPr>
              <w:t>参数同上口岸信息机房“精密空调1”</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1.4</w:t>
            </w:r>
          </w:p>
        </w:tc>
        <w:tc>
          <w:tcPr>
            <w:tcW w:w="1406" w:type="dxa"/>
            <w:noWrap/>
            <w:vAlign w:val="center"/>
          </w:tcPr>
          <w:p>
            <w:r>
              <w:rPr>
                <w:rFonts w:hint="eastAsia"/>
              </w:rPr>
              <w:t>监控组件</w:t>
            </w:r>
          </w:p>
        </w:tc>
        <w:tc>
          <w:tcPr>
            <w:tcW w:w="6169" w:type="dxa"/>
            <w:vAlign w:val="center"/>
          </w:tcPr>
          <w:p>
            <w:r>
              <w:rPr>
                <w:rFonts w:hint="eastAsia"/>
              </w:rPr>
              <w:t>参数同上口岸信息机房“监控组件”</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1.5</w:t>
            </w:r>
          </w:p>
        </w:tc>
        <w:tc>
          <w:tcPr>
            <w:tcW w:w="1406" w:type="dxa"/>
            <w:noWrap/>
            <w:vAlign w:val="center"/>
          </w:tcPr>
          <w:p>
            <w:r>
              <w:rPr>
                <w:rFonts w:hint="eastAsia"/>
              </w:rPr>
              <w:t>成套线缆</w:t>
            </w:r>
          </w:p>
        </w:tc>
        <w:tc>
          <w:tcPr>
            <w:tcW w:w="6169" w:type="dxa"/>
            <w:vAlign w:val="center"/>
          </w:tcPr>
          <w:p>
            <w:r>
              <w:rPr>
                <w:rFonts w:hint="eastAsia"/>
              </w:rPr>
              <w:t>微模块各个部件之间的功率线缆、信号线缆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noWrap/>
            <w:vAlign w:val="center"/>
          </w:tcPr>
          <w:p>
            <w:r>
              <w:rPr>
                <w:rFonts w:hint="eastAsia"/>
              </w:rPr>
              <w:t>供配电、UPS、空调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2.1</w:t>
            </w:r>
          </w:p>
        </w:tc>
        <w:tc>
          <w:tcPr>
            <w:tcW w:w="1406" w:type="dxa"/>
            <w:noWrap/>
            <w:vAlign w:val="center"/>
          </w:tcPr>
          <w:p>
            <w:r>
              <w:rPr>
                <w:rFonts w:hint="eastAsia"/>
              </w:rPr>
              <w:t>市电总配电柜</w:t>
            </w:r>
          </w:p>
        </w:tc>
        <w:tc>
          <w:tcPr>
            <w:tcW w:w="6169" w:type="dxa"/>
            <w:vAlign w:val="center"/>
          </w:tcPr>
          <w:p>
            <w:r>
              <w:rPr>
                <w:rFonts w:hint="eastAsia"/>
              </w:rPr>
              <w:t>含柜体、ATS切换开关、塑壳开关、电量仪、保护开关等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2.2</w:t>
            </w:r>
          </w:p>
        </w:tc>
        <w:tc>
          <w:tcPr>
            <w:tcW w:w="1406" w:type="dxa"/>
            <w:noWrap/>
            <w:vAlign w:val="center"/>
          </w:tcPr>
          <w:p>
            <w:r>
              <w:rPr>
                <w:rFonts w:hint="eastAsia"/>
              </w:rPr>
              <w:t>UPS输出柜</w:t>
            </w:r>
          </w:p>
        </w:tc>
        <w:tc>
          <w:tcPr>
            <w:tcW w:w="6169" w:type="dxa"/>
            <w:vAlign w:val="center"/>
          </w:tcPr>
          <w:p>
            <w:r>
              <w:rPr>
                <w:rFonts w:hint="eastAsia"/>
              </w:rPr>
              <w:t>含柜体、电量仪、塑壳开关、微断开关、保护开关等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2.3</w:t>
            </w:r>
          </w:p>
        </w:tc>
        <w:tc>
          <w:tcPr>
            <w:tcW w:w="1406" w:type="dxa"/>
            <w:noWrap/>
            <w:vAlign w:val="center"/>
          </w:tcPr>
          <w:p>
            <w:r>
              <w:rPr>
                <w:rFonts w:hint="eastAsia"/>
              </w:rPr>
              <w:t>电力电缆</w:t>
            </w:r>
          </w:p>
        </w:tc>
        <w:tc>
          <w:tcPr>
            <w:tcW w:w="6169" w:type="dxa"/>
            <w:vAlign w:val="center"/>
          </w:tcPr>
          <w:p>
            <w:r>
              <w:rPr>
                <w:rFonts w:hint="eastAsia"/>
              </w:rPr>
              <w:t>含主输入端电缆、输出电缆等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restart"/>
            <w:noWrap/>
            <w:vAlign w:val="center"/>
          </w:tcPr>
          <w:p>
            <w:r>
              <w:rPr>
                <w:rFonts w:hint="eastAsia"/>
              </w:rPr>
              <w:t>2.4</w:t>
            </w:r>
          </w:p>
        </w:tc>
        <w:tc>
          <w:tcPr>
            <w:tcW w:w="1406" w:type="dxa"/>
            <w:vMerge w:val="restart"/>
            <w:noWrap/>
            <w:vAlign w:val="center"/>
          </w:tcPr>
          <w:p>
            <w:r>
              <w:rPr>
                <w:rFonts w:hint="eastAsia"/>
              </w:rPr>
              <w:t>机房用UPS系统</w:t>
            </w:r>
          </w:p>
        </w:tc>
        <w:tc>
          <w:tcPr>
            <w:tcW w:w="6169" w:type="dxa"/>
            <w:vAlign w:val="center"/>
          </w:tcPr>
          <w:p>
            <w:r>
              <w:rPr>
                <w:rFonts w:hint="eastAsia"/>
              </w:rPr>
              <w:t xml:space="preserve">1、UPS应采用模块化设计，机框容量不低于60KVA，为节省空间，UPS主机应尽可能较少占地面积，尺寸不应大于600*860*2000mm（宽*深*高）；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2、UPS功率模块应≥25KVA，旁路模块与功率模块均应并持热插拔功能；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2.5</w:t>
            </w:r>
          </w:p>
        </w:tc>
        <w:tc>
          <w:tcPr>
            <w:tcW w:w="1406" w:type="dxa"/>
            <w:noWrap/>
            <w:vAlign w:val="center"/>
          </w:tcPr>
          <w:p>
            <w:r>
              <w:rPr>
                <w:rFonts w:hint="eastAsia"/>
              </w:rPr>
              <w:t>蓄电池</w:t>
            </w:r>
          </w:p>
        </w:tc>
        <w:tc>
          <w:tcPr>
            <w:tcW w:w="6169" w:type="dxa"/>
            <w:vAlign w:val="center"/>
          </w:tcPr>
          <w:p>
            <w:r>
              <w:rPr>
                <w:rFonts w:hint="eastAsia"/>
              </w:rPr>
              <w:t>150AH/12V，铅酸蓄电池；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2.6</w:t>
            </w:r>
          </w:p>
        </w:tc>
        <w:tc>
          <w:tcPr>
            <w:tcW w:w="1406" w:type="dxa"/>
            <w:noWrap/>
            <w:vAlign w:val="center"/>
          </w:tcPr>
          <w:p>
            <w:r>
              <w:rPr>
                <w:rFonts w:hint="eastAsia"/>
              </w:rPr>
              <w:t>电池柜及电源线</w:t>
            </w:r>
          </w:p>
        </w:tc>
        <w:tc>
          <w:tcPr>
            <w:tcW w:w="6169" w:type="dxa"/>
            <w:vAlign w:val="center"/>
          </w:tcPr>
          <w:p>
            <w:r>
              <w:rPr>
                <w:rFonts w:hint="eastAsia"/>
              </w:rPr>
              <w:t>定制，规格1200*1100mm，含电池柜配套线缆辅料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2.7</w:t>
            </w:r>
          </w:p>
        </w:tc>
        <w:tc>
          <w:tcPr>
            <w:tcW w:w="1406" w:type="dxa"/>
            <w:noWrap/>
            <w:vAlign w:val="center"/>
          </w:tcPr>
          <w:p>
            <w:r>
              <w:rPr>
                <w:rFonts w:hint="eastAsia"/>
              </w:rPr>
              <w:t>精密空调2</w:t>
            </w:r>
          </w:p>
        </w:tc>
        <w:tc>
          <w:tcPr>
            <w:tcW w:w="6169" w:type="dxa"/>
            <w:vAlign w:val="center"/>
          </w:tcPr>
          <w:p>
            <w:r>
              <w:rPr>
                <w:rFonts w:hint="eastAsia"/>
              </w:rPr>
              <w:t>参数同上口岸信息机房“精密空调2”</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noWrap/>
            <w:vAlign w:val="center"/>
          </w:tcPr>
          <w:p>
            <w:r>
              <w:rPr>
                <w:rFonts w:hint="eastAsia"/>
              </w:rPr>
              <w:t>动环系统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w:t>
            </w:r>
          </w:p>
        </w:tc>
        <w:tc>
          <w:tcPr>
            <w:tcW w:w="1406" w:type="dxa"/>
            <w:noWrap/>
            <w:vAlign w:val="center"/>
          </w:tcPr>
          <w:p>
            <w:r>
              <w:rPr>
                <w:rFonts w:hint="eastAsia"/>
              </w:rPr>
              <w:t>机房动环监控系统</w:t>
            </w:r>
          </w:p>
        </w:tc>
        <w:tc>
          <w:tcPr>
            <w:tcW w:w="6169" w:type="dxa"/>
            <w:noWrap/>
            <w:vAlign w:val="center"/>
          </w:tcPr>
          <w:p>
            <w:r>
              <w:rPr>
                <w:rFonts w:hint="eastAsia"/>
              </w:rPr>
              <w:t xml:space="preserve">参数同上口岸信息机房“机房动环监控系统” </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noWrap/>
            <w:vAlign w:val="center"/>
          </w:tcPr>
          <w:p>
            <w:r>
              <w:rPr>
                <w:rFonts w:hint="eastAsia"/>
              </w:rPr>
              <w:t>机房桥架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vAlign w:val="center"/>
          </w:tcPr>
          <w:p>
            <w:r>
              <w:rPr>
                <w:rFonts w:hint="eastAsia"/>
              </w:rPr>
              <w:t>强电网格桥架</w:t>
            </w:r>
          </w:p>
        </w:tc>
        <w:tc>
          <w:tcPr>
            <w:tcW w:w="6169" w:type="dxa"/>
            <w:vAlign w:val="center"/>
          </w:tcPr>
          <w:p>
            <w:r>
              <w:rPr>
                <w:rFonts w:hint="eastAsia"/>
              </w:rPr>
              <w:t>安装敷设不锈钢强电桥架200~400mm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vAlign w:val="center"/>
          </w:tcPr>
          <w:p>
            <w:r>
              <w:rPr>
                <w:rFonts w:hint="eastAsia"/>
              </w:rPr>
              <w:t>弱电网格桥架</w:t>
            </w:r>
          </w:p>
        </w:tc>
        <w:tc>
          <w:tcPr>
            <w:tcW w:w="6169" w:type="dxa"/>
            <w:vAlign w:val="center"/>
          </w:tcPr>
          <w:p>
            <w:r>
              <w:rPr>
                <w:rFonts w:hint="eastAsia"/>
              </w:rPr>
              <w:t>安装敷设不锈钢强弱桥架200~400mm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7575" w:type="dxa"/>
            <w:gridSpan w:val="2"/>
            <w:noWrap/>
            <w:vAlign w:val="center"/>
          </w:tcPr>
          <w:p>
            <w:r>
              <w:rPr>
                <w:rFonts w:hint="eastAsia"/>
              </w:rPr>
              <w:t>机房综合布线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5.1</w:t>
            </w:r>
          </w:p>
        </w:tc>
        <w:tc>
          <w:tcPr>
            <w:tcW w:w="1406" w:type="dxa"/>
            <w:noWrap/>
            <w:vAlign w:val="center"/>
          </w:tcPr>
          <w:p>
            <w:r>
              <w:rPr>
                <w:rFonts w:hint="eastAsia"/>
              </w:rPr>
              <w:t>网线</w:t>
            </w:r>
          </w:p>
        </w:tc>
        <w:tc>
          <w:tcPr>
            <w:tcW w:w="6169" w:type="dxa"/>
            <w:vAlign w:val="center"/>
          </w:tcPr>
          <w:p>
            <w:r>
              <w:rPr>
                <w:rFonts w:hint="eastAsia"/>
              </w:rPr>
              <w:t>六类网线，含机柜内敷设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5.2</w:t>
            </w:r>
          </w:p>
        </w:tc>
        <w:tc>
          <w:tcPr>
            <w:tcW w:w="1406" w:type="dxa"/>
            <w:noWrap/>
            <w:vAlign w:val="center"/>
          </w:tcPr>
          <w:p>
            <w:r>
              <w:rPr>
                <w:rFonts w:hint="eastAsia"/>
              </w:rPr>
              <w:t>网络配线架</w:t>
            </w:r>
          </w:p>
        </w:tc>
        <w:tc>
          <w:tcPr>
            <w:tcW w:w="6169" w:type="dxa"/>
            <w:vAlign w:val="center"/>
          </w:tcPr>
          <w:p>
            <w:r>
              <w:rPr>
                <w:rFonts w:hint="eastAsia"/>
              </w:rPr>
              <w:t>24口，非屏蔽，六类（含模块）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5.3</w:t>
            </w:r>
          </w:p>
        </w:tc>
        <w:tc>
          <w:tcPr>
            <w:tcW w:w="1406" w:type="dxa"/>
            <w:noWrap/>
            <w:vAlign w:val="center"/>
          </w:tcPr>
          <w:p>
            <w:r>
              <w:rPr>
                <w:rFonts w:hint="eastAsia"/>
              </w:rPr>
              <w:t>理线架</w:t>
            </w:r>
          </w:p>
        </w:tc>
        <w:tc>
          <w:tcPr>
            <w:tcW w:w="6169" w:type="dxa"/>
            <w:vAlign w:val="center"/>
          </w:tcPr>
          <w:p>
            <w:r>
              <w:rPr>
                <w:rFonts w:hint="eastAsia"/>
              </w:rPr>
              <w:t>网络理线架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5.4</w:t>
            </w:r>
          </w:p>
        </w:tc>
        <w:tc>
          <w:tcPr>
            <w:tcW w:w="1406" w:type="dxa"/>
            <w:vAlign w:val="center"/>
          </w:tcPr>
          <w:p>
            <w:r>
              <w:rPr>
                <w:rFonts w:hint="eastAsia"/>
              </w:rPr>
              <w:t>网络跳线</w:t>
            </w:r>
          </w:p>
        </w:tc>
        <w:tc>
          <w:tcPr>
            <w:tcW w:w="6169" w:type="dxa"/>
            <w:vAlign w:val="center"/>
          </w:tcPr>
          <w:p>
            <w:r>
              <w:rPr>
                <w:rFonts w:hint="eastAsia"/>
              </w:rPr>
              <w:t>4对六类非屏蔽软跳线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五</w:t>
            </w:r>
          </w:p>
        </w:tc>
        <w:tc>
          <w:tcPr>
            <w:tcW w:w="1406" w:type="dxa"/>
            <w:vAlign w:val="center"/>
          </w:tcPr>
          <w:p>
            <w:r>
              <w:rPr>
                <w:rFonts w:hint="eastAsia"/>
              </w:rPr>
              <w:t>楼层设备间</w:t>
            </w:r>
          </w:p>
        </w:tc>
        <w:tc>
          <w:tcPr>
            <w:tcW w:w="6169"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1406" w:type="dxa"/>
            <w:vAlign w:val="center"/>
          </w:tcPr>
          <w:p>
            <w:r>
              <w:rPr>
                <w:rFonts w:hint="eastAsia"/>
              </w:rPr>
              <w:t>网络机柜</w:t>
            </w:r>
          </w:p>
        </w:tc>
        <w:tc>
          <w:tcPr>
            <w:tcW w:w="6169" w:type="dxa"/>
            <w:vAlign w:val="center"/>
          </w:tcPr>
          <w:p>
            <w:r>
              <w:rPr>
                <w:rFonts w:hint="eastAsia"/>
              </w:rPr>
              <w:t>42U网络机柜规格（W*D*H）：800mm*1000mm*2000mm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1406" w:type="dxa"/>
            <w:vAlign w:val="center"/>
          </w:tcPr>
          <w:p>
            <w:r>
              <w:rPr>
                <w:rFonts w:hint="eastAsia"/>
              </w:rPr>
              <w:t>网络桥架</w:t>
            </w:r>
          </w:p>
        </w:tc>
        <w:tc>
          <w:tcPr>
            <w:tcW w:w="6169" w:type="dxa"/>
            <w:vAlign w:val="center"/>
          </w:tcPr>
          <w:p>
            <w:r>
              <w:rPr>
                <w:rFonts w:hint="eastAsia"/>
              </w:rPr>
              <w:t>安装敷设不锈钢强弱桥架，宽400mm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1406" w:type="dxa"/>
            <w:vAlign w:val="center"/>
          </w:tcPr>
          <w:p>
            <w:r>
              <w:rPr>
                <w:rFonts w:hint="eastAsia"/>
              </w:rPr>
              <w:t>静电地板</w:t>
            </w:r>
          </w:p>
        </w:tc>
        <w:tc>
          <w:tcPr>
            <w:tcW w:w="6169" w:type="dxa"/>
            <w:vAlign w:val="center"/>
          </w:tcPr>
          <w:p>
            <w:r>
              <w:rPr>
                <w:rFonts w:hint="eastAsia"/>
              </w:rPr>
              <w:t>600*600*32mm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1406" w:type="dxa"/>
            <w:vAlign w:val="center"/>
          </w:tcPr>
          <w:p>
            <w:r>
              <w:rPr>
                <w:rFonts w:hint="eastAsia"/>
              </w:rPr>
              <w:t>气体消防</w:t>
            </w:r>
          </w:p>
        </w:tc>
        <w:tc>
          <w:tcPr>
            <w:tcW w:w="6169" w:type="dxa"/>
            <w:vAlign w:val="center"/>
          </w:tcPr>
          <w:p>
            <w:r>
              <w:rPr>
                <w:rFonts w:hint="eastAsia"/>
              </w:rPr>
              <w:t>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5</w:t>
            </w:r>
          </w:p>
        </w:tc>
        <w:tc>
          <w:tcPr>
            <w:tcW w:w="1406" w:type="dxa"/>
            <w:vAlign w:val="center"/>
          </w:tcPr>
          <w:p>
            <w:r>
              <w:rPr>
                <w:rFonts w:hint="eastAsia"/>
              </w:rPr>
              <w:t>其他辅材</w:t>
            </w:r>
          </w:p>
        </w:tc>
        <w:tc>
          <w:tcPr>
            <w:tcW w:w="6169"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522" w:type="dxa"/>
            <w:gridSpan w:val="3"/>
            <w:vAlign w:val="center"/>
          </w:tcPr>
          <w:p>
            <w:r>
              <w:rPr>
                <w:rFonts w:hint="eastAsia"/>
              </w:rPr>
              <w:t>第三部分：信息网络及光缆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522" w:type="dxa"/>
            <w:gridSpan w:val="3"/>
            <w:noWrap/>
            <w:vAlign w:val="center"/>
          </w:tcPr>
          <w:p>
            <w:r>
              <w:rPr>
                <w:rFonts w:hint="eastAsia"/>
              </w:rPr>
              <w:t>一、网络设备及信息安全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w:t>
            </w:r>
          </w:p>
        </w:tc>
        <w:tc>
          <w:tcPr>
            <w:tcW w:w="7575" w:type="dxa"/>
            <w:gridSpan w:val="2"/>
            <w:noWrap/>
            <w:vAlign w:val="center"/>
          </w:tcPr>
          <w:p>
            <w:r>
              <w:rPr>
                <w:rFonts w:hint="eastAsia"/>
              </w:rPr>
              <w:t>口岸办网络设备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1.1</w:t>
            </w:r>
          </w:p>
        </w:tc>
        <w:tc>
          <w:tcPr>
            <w:tcW w:w="7575" w:type="dxa"/>
            <w:gridSpan w:val="2"/>
            <w:noWrap/>
            <w:vAlign w:val="center"/>
          </w:tcPr>
          <w:p>
            <w:r>
              <w:rPr>
                <w:rFonts w:hint="eastAsia"/>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1.1.1</w:t>
            </w:r>
          </w:p>
        </w:tc>
        <w:tc>
          <w:tcPr>
            <w:tcW w:w="1406" w:type="dxa"/>
            <w:vMerge w:val="restart"/>
            <w:noWrap/>
            <w:vAlign w:val="center"/>
          </w:tcPr>
          <w:p>
            <w:r>
              <w:rPr>
                <w:rFonts w:hint="eastAsia"/>
              </w:rPr>
              <w:t>核心交换机</w:t>
            </w:r>
          </w:p>
        </w:tc>
        <w:tc>
          <w:tcPr>
            <w:tcW w:w="6169" w:type="dxa"/>
            <w:vAlign w:val="center"/>
          </w:tcPr>
          <w:p>
            <w:pPr>
              <w:rPr>
                <w:rFonts w:ascii="宋体" w:hAnsi="宋体" w:cs="宋体"/>
                <w:color w:val="000000"/>
                <w:kern w:val="0"/>
                <w:szCs w:val="21"/>
              </w:rPr>
            </w:pPr>
            <w:r>
              <w:rPr>
                <w:rFonts w:hint="eastAsia"/>
              </w:rPr>
              <w:t>★1、交换容量≥387Tbps；包转发率≥115200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rPr>
            </w:pPr>
            <w:r>
              <w:rPr>
                <w:rFonts w:hint="eastAsia"/>
                <w:b/>
                <w:bCs/>
                <w:color w:val="FF0000"/>
              </w:rPr>
              <w:t>▲3、交换机采用的交换芯片为投标品牌自研国产化芯片，要求提供第三方</w:t>
            </w:r>
            <w:r>
              <w:rPr>
                <w:rFonts w:hint="eastAsia"/>
                <w:b/>
                <w:bCs/>
                <w:color w:val="FF0000"/>
                <w:lang w:val="en-US" w:eastAsia="zh-CN"/>
              </w:rPr>
              <w:t>检测机构出具的</w:t>
            </w:r>
            <w:r>
              <w:rPr>
                <w:rFonts w:hint="eastAsia"/>
                <w:b/>
                <w:bCs/>
                <w:color w:val="FF0000"/>
              </w:rPr>
              <w:t>检测报告</w:t>
            </w:r>
            <w:r>
              <w:rPr>
                <w:rFonts w:hint="eastAsia"/>
                <w:b/>
                <w:bCs/>
                <w:color w:val="FF0000"/>
                <w:lang w:val="en-US" w:eastAsia="zh-CN"/>
              </w:rPr>
              <w:t>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4、支持220V交流、48V直流、380V高压直流供电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5、支持VxLAN功能，支持同一个VxLAN网络内不同三层网段互通，支持不同VxLAN网络互通，支持VxLAN网络与非VxLAN网络互通，支持EVPN路由传递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6、支持4K VLAN、PVLAN、QinQ,STP、RSTP、MSTP生成树协议,SNMP V1/V2/V3、Telnet、SSHv2,CPU防攻击、ICMP Flood攻击防范、UDP Flood攻击防范、TCP SYN Flood攻击防范、Smurf攻击防护,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7、支持IPv4/IPv6双栈，支持IPv6地址、ICMPv6、UDP6/TCP6、DNSv6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b/>
                <w:bCs/>
                <w:color w:val="FF0000"/>
              </w:rPr>
              <w:t>▲8、支持ERPS环网保护协议，端到端30ms硬件级倒换，提供第三方测试报告相关内容截图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9、支持MPLS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1.1.2</w:t>
            </w:r>
          </w:p>
        </w:tc>
        <w:tc>
          <w:tcPr>
            <w:tcW w:w="1406" w:type="dxa"/>
            <w:vMerge w:val="restart"/>
            <w:noWrap/>
            <w:vAlign w:val="center"/>
          </w:tcPr>
          <w:p>
            <w:r>
              <w:rPr>
                <w:rFonts w:hint="eastAsia"/>
              </w:rPr>
              <w:t>汇聚交换机</w:t>
            </w:r>
          </w:p>
        </w:tc>
        <w:tc>
          <w:tcPr>
            <w:tcW w:w="6169" w:type="dxa"/>
            <w:vAlign w:val="center"/>
          </w:tcPr>
          <w:p>
            <w:pPr>
              <w:rPr>
                <w:rFonts w:ascii="宋体" w:hAnsi="宋体" w:cs="宋体"/>
                <w:color w:val="000000"/>
                <w:kern w:val="0"/>
                <w:szCs w:val="21"/>
              </w:rPr>
            </w:pPr>
            <w:r>
              <w:rPr>
                <w:rFonts w:hint="eastAsia"/>
              </w:rPr>
              <w:t>★1、交换容量≥4.8Tbps，包转发率≥2000Mpps；网络端口：48×10GE SFP+端口，6×40GE/100GE QSFP28端口；光模块：4个10GE多模模块，配置1根≥5米的40G QSFP+ to 40GQSFP+ 线缆，配置电源≥2个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b/>
                <w:bCs/>
                <w:color w:val="FF0000"/>
                <w:kern w:val="0"/>
                <w:szCs w:val="21"/>
              </w:rPr>
            </w:pPr>
            <w:r>
              <w:rPr>
                <w:rFonts w:hint="eastAsia"/>
              </w:rPr>
              <w:t>▲2、交换芯片、CPU采用国产芯片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3、支持静态路由、RIPv1/v2、OSPFv2、ISIS、BGP4、IPv4 uRPF,静态路由For IPv6、RIPng、OSPFv3、ISISv6、BGP4+ For IPv6、IPv6 uRPF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kern w:val="0"/>
                <w:szCs w:val="21"/>
              </w:rPr>
            </w:pPr>
            <w:r>
              <w:rPr>
                <w:rFonts w:hint="eastAsia"/>
              </w:rPr>
              <w:t>4、支持风扇模块≥4，保证设备散热效果和可靠性，支持严格的前进后出风道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kern w:val="0"/>
                <w:szCs w:val="21"/>
              </w:rPr>
            </w:pPr>
            <w:r>
              <w:rPr>
                <w:rFonts w:hint="eastAsia"/>
              </w:rPr>
              <w:t>5、支持MC-LAG功能,Netconf功能,VxLAN隧道 over IPv6,VXLAN二层网关，VXLAN三层网关,EVPN VXLAN功能测试，ARP广播抑制功能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kern w:val="0"/>
                <w:szCs w:val="21"/>
              </w:rPr>
            </w:pPr>
            <w:r>
              <w:rPr>
                <w:rFonts w:hint="eastAsia"/>
              </w:rPr>
              <w:t>6、支持 IPv6 over IPv4 VXLAN隧道,3.3ms高性能BFD，实现快速保护切换和快速收敛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7、支持VSC堆叠功能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8、支持Telemetry功能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ascii="宋体" w:hAnsi="宋体" w:cs="宋体"/>
                <w:color w:val="000000"/>
                <w:kern w:val="0"/>
                <w:szCs w:val="21"/>
              </w:rPr>
            </w:pPr>
            <w:r>
              <w:rPr>
                <w:rFonts w:hint="eastAsia"/>
              </w:rPr>
              <w:t>9、支持Netflow功能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1.1.3</w:t>
            </w:r>
          </w:p>
        </w:tc>
        <w:tc>
          <w:tcPr>
            <w:tcW w:w="1406" w:type="dxa"/>
            <w:vMerge w:val="restart"/>
            <w:noWrap/>
            <w:vAlign w:val="center"/>
          </w:tcPr>
          <w:p>
            <w:r>
              <w:rPr>
                <w:rFonts w:hint="eastAsia"/>
              </w:rPr>
              <w:t>下一代防火墙</w:t>
            </w:r>
          </w:p>
        </w:tc>
        <w:tc>
          <w:tcPr>
            <w:tcW w:w="6169" w:type="dxa"/>
            <w:vAlign w:val="center"/>
          </w:tcPr>
          <w:p>
            <w:r>
              <w:rPr>
                <w:rFonts w:hint="eastAsia"/>
              </w:rPr>
              <w:t>▲1、内存≥32G，硬盘≥1T，1个MGMT口，一个HA口,冗余电源,防火墙吞吐≥60G，并发连接≥2000万，每秒新建连接≥42万，应用层吞吐量≥48G， IPSEC VPN吞吐≥3G，IPSEC VPN隧道数≥2000，SSL VPN吞吐≥2.5G，SSL VPN并发用户数≥5000 。≥8个万兆光口，≥8电口，≥4个千兆光口；含三年硬件维保服务。含应用识别、URL过滤、病毒防护、入侵防御、威胁情报检测、IPSec VPN。含三年应用识别库、</w:t>
            </w:r>
            <w:r>
              <w:rPr>
                <w:rFonts w:hint="eastAsia" w:ascii="Times New Roman" w:hAnsi="Times New Roman"/>
                <w:color w:val="454545"/>
                <w:sz w:val="21"/>
                <w:szCs w:val="24"/>
                <w:shd w:val="clear" w:color="auto" w:fill="FFFFFF"/>
              </w:rPr>
              <w:t>病毒库升级服务许可</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2、路由交换支持RIP、OSPF、BGP4、PIM-SM、PIM-DM；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3、支持IP/MAC绑定，支持跨三层绑定，支持IP/MAC绑定表导入导出，以便对IP/MAC绑定关系进行批量操作；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rPr>
              <w:t>▲4、支持一体化安全策略配置，可以通过一条策略实现五元组、源MAC、源地区、目的地区、域名、应用、服务、时间、长连接、IPS、AV、URL过滤、高级威胁防护、WAF、邮件安全、数据过滤、文件过滤、僵木蠕防御、审计、数据库防护、防代理、APT功能配置,简化用户管理；（应提供截图证明，并提供第三方</w:t>
            </w:r>
            <w:r>
              <w:rPr>
                <w:rFonts w:hint="eastAsia"/>
                <w:b/>
                <w:bCs/>
                <w:color w:val="FF0000"/>
                <w:lang w:val="en-US" w:eastAsia="zh-CN"/>
              </w:rPr>
              <w:t>检测机构出具的能体现以上</w:t>
            </w:r>
            <w:r>
              <w:rPr>
                <w:rFonts w:hint="eastAsia"/>
                <w:b/>
                <w:bCs/>
                <w:color w:val="FF0000"/>
              </w:rPr>
              <w:t>功能</w:t>
            </w:r>
            <w:r>
              <w:rPr>
                <w:rFonts w:hint="eastAsia"/>
                <w:b/>
                <w:bCs/>
                <w:color w:val="FF0000"/>
                <w:lang w:eastAsia="zh-CN"/>
              </w:rPr>
              <w:t>的</w:t>
            </w:r>
            <w:r>
              <w:rPr>
                <w:rFonts w:hint="eastAsia"/>
                <w:b/>
                <w:bCs/>
                <w:color w:val="FF0000"/>
              </w:rPr>
              <w:t>检测报告扫描件</w:t>
            </w:r>
            <w:r>
              <w:rPr>
                <w:rFonts w:hint="eastAsia"/>
                <w:b/>
                <w:bCs/>
                <w:color w:val="FF0000"/>
                <w:lang w:val="en-US" w:eastAsia="zh-CN"/>
              </w:rPr>
              <w:t>，原件备查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t>5</w:t>
            </w:r>
            <w:r>
              <w:rPr>
                <w:rFonts w:hint="eastAsia"/>
              </w:rPr>
              <w:t>、支持域名控制，支持对多级域名进行控制，域名对象支持通配符；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rPr>
            </w:pPr>
            <w:r>
              <w:rPr>
                <w:rFonts w:hint="eastAsia"/>
                <w:b/>
                <w:bCs/>
                <w:color w:val="FF0000"/>
              </w:rPr>
              <w:t>▲6、提供策略分析功能，支持策略命中分析、策略冗余分析、策略冲突检查、策略包含分析、宽泛策略分析，可在WEB界面显示检测结果；（提供截图证明）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rPr>
            </w:pPr>
            <w:r>
              <w:rPr>
                <w:rFonts w:hint="eastAsia"/>
                <w:b/>
                <w:bCs/>
                <w:color w:val="FF0000"/>
              </w:rPr>
              <w:t>▲7、支持针对IP、ICMP、TCP、UDP、DNS、HTTP、HTTPS、SIP、NTP等协议进行DDOS防护；支持预定义和自定义策略模板；（提供截图证明）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rFonts w:hint="eastAsia"/>
                <w:b/>
                <w:bCs/>
                <w:color w:val="FF0000"/>
              </w:rPr>
            </w:pPr>
            <w:r>
              <w:rPr>
                <w:rFonts w:hint="eastAsia"/>
                <w:b/>
                <w:bCs/>
                <w:color w:val="FF0000"/>
              </w:rPr>
              <w:t>▲8、支持防盗链、防爬虫、CSRF防护功能；（提供证明截图）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9、网络接入支持RADVD、ND、RIPng、OSPFv3、BGP4+，支持IPv6静态、动态组播路由；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1.1.4</w:t>
            </w:r>
          </w:p>
        </w:tc>
        <w:tc>
          <w:tcPr>
            <w:tcW w:w="1406" w:type="dxa"/>
            <w:vMerge w:val="restart"/>
            <w:noWrap/>
            <w:vAlign w:val="center"/>
          </w:tcPr>
          <w:p>
            <w:r>
              <w:rPr>
                <w:rFonts w:hint="eastAsia"/>
              </w:rPr>
              <w:t>入侵防御设备IPS</w:t>
            </w:r>
          </w:p>
        </w:tc>
        <w:tc>
          <w:tcPr>
            <w:tcW w:w="6169" w:type="dxa"/>
            <w:vAlign w:val="center"/>
          </w:tcPr>
          <w:p>
            <w:r>
              <w:rPr>
                <w:rFonts w:hint="eastAsia"/>
              </w:rPr>
              <w:t>▲1、内存≥64G，冗余电源，整机吞吐率≥20Gbps，最大并发连接数≥1000万，IPS吞吐率≥10Gbps，≥8个10/100/1000M自适应电口，≥4个千兆光口，≥6个万兆光口；≥1个Console口；≥1T硬盘；含三年硬件维保服务。含三年攻击检测规则库、应用识别库、地理信息库，3年僵尸主机规则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pPr>
              <w:rPr>
                <w:color w:val="FF0000"/>
              </w:rPr>
            </w:pPr>
            <w:r>
              <w:rPr>
                <w:rFonts w:hint="eastAsia"/>
                <w:b/>
                <w:bCs/>
                <w:color w:val="FF0000"/>
              </w:rPr>
              <w:t>▲2、异常流量检测支持DGA域名检测，采用DGA智慧引擎进行检测，用户可设置敏感度；（提供产品截图证明）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w:t>
            </w:r>
            <w:r>
              <w:rPr>
                <w:szCs w:val="18"/>
              </w:rPr>
              <w:t>DDoS检测内置百兆、千兆、万兆的W</w:t>
            </w:r>
            <w:r>
              <w:rPr>
                <w:rFonts w:hint="eastAsia"/>
                <w:szCs w:val="18"/>
              </w:rPr>
              <w:t>eb</w:t>
            </w:r>
            <w:r>
              <w:rPr>
                <w:szCs w:val="18"/>
              </w:rPr>
              <w:t>服务器、DNS授权服务器、DNS缓存服务器、</w:t>
            </w:r>
            <w:r>
              <w:rPr>
                <w:rFonts w:hint="eastAsia"/>
                <w:szCs w:val="18"/>
              </w:rPr>
              <w:t>FTP</w:t>
            </w:r>
            <w:r>
              <w:rPr>
                <w:szCs w:val="18"/>
              </w:rPr>
              <w:t>服务器等不同应用场景下的DDoS检测模板。支持对模板导入</w:t>
            </w:r>
            <w:r>
              <w:rPr>
                <w:rFonts w:hint="eastAsia"/>
                <w:szCs w:val="18"/>
              </w:rPr>
              <w:t>、</w:t>
            </w:r>
            <w:r>
              <w:rPr>
                <w:szCs w:val="18"/>
              </w:rPr>
              <w:t>导出等操作</w:t>
            </w: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rPr>
              <w:t>▲4、支持对传统协议元数据提取，包括TCP/UDP、ICMP、HTTP、SMTP、POP3、IMAP、WEBMAIL、FTP、SMB、NFS、文件、MYSQL、MSSQL、ORACLE、POSTGRESQL、DB2、REDIS、MONGODB、达梦、南大通用、人大金仓、SSL、RDP、DNS、SNMP、TFTP、IKEV2、LDAP、SIP、SSDP、SOCKS4、SOCKS5、AFP、VNC、SSH、DHCP、RADIUS、NTP、认证、SPICE、FEIQ、WAP协议；（提供产品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5、提供综合性的流量审计功能，可深入内容层提取元数据信息，包括传统网络协议、工控网协议、物联网协议、车联网协议、VPN协议、移动网协议等60余种流量类型；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6、</w:t>
            </w:r>
            <w:bookmarkStart w:id="45" w:name="_Hlk40199865"/>
            <w:r>
              <w:t>支持独立的攻击检测引擎，涵盖12000种以上的攻击检测规则库。</w:t>
            </w:r>
            <w:bookmarkEnd w:id="45"/>
            <w:r>
              <w:t>规则库支持按照攻击类型、操作系统、风险等级、应用类型、流行程度等方式进行分类</w:t>
            </w:r>
            <w:r>
              <w:rPr>
                <w:rFonts w:hint="eastAsia"/>
              </w:rPr>
              <w:t>；</w:t>
            </w:r>
          </w:p>
        </w:tc>
      </w:tr>
      <w:tr>
        <w:tblPrEx>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7、支持对多种应用类型进行攻击检测防御，包括WEB应用、文件传输、邮件、数据库、远程访问、远程过程调用、工控、路由、基础服务、加密等多种业务。并对规则可设置相应警告、阻断动作；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8、支持统计攻击事件次数、阻断次数、受害主机个数、攻击主机个数；可展示攻击事件Top10、受害主机Top10、攻击类型分布、应用类型分布、攻击趋势；能够按照攻击事件、受害主机、攻击主机进行排名；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rPr>
              <w:t>▲9、产品具有中国信息安全测评中心颁发的《国家信息安全测评信息技术产品安全测评证书》（EAL3+级）。（提供</w:t>
            </w:r>
            <w:r>
              <w:rPr>
                <w:rFonts w:hint="eastAsia"/>
                <w:b/>
                <w:bCs/>
                <w:color w:val="FF0000"/>
                <w:lang w:val="en-US" w:eastAsia="zh-CN"/>
              </w:rPr>
              <w:t>证书扫描件，原件备查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1.1.5</w:t>
            </w:r>
          </w:p>
        </w:tc>
        <w:tc>
          <w:tcPr>
            <w:tcW w:w="1406" w:type="dxa"/>
            <w:vMerge w:val="restart"/>
            <w:noWrap/>
            <w:vAlign w:val="center"/>
          </w:tcPr>
          <w:p>
            <w:r>
              <w:rPr>
                <w:rFonts w:hint="eastAsia"/>
              </w:rPr>
              <w:t>上网行为管理</w:t>
            </w:r>
          </w:p>
        </w:tc>
        <w:tc>
          <w:tcPr>
            <w:tcW w:w="6169" w:type="dxa"/>
            <w:vAlign w:val="center"/>
          </w:tcPr>
          <w:p>
            <w:r>
              <w:rPr>
                <w:rFonts w:hint="eastAsia"/>
              </w:rPr>
              <w:t>▲1、1个console口，2个USB接口，≥2个千兆电口，≥2个万兆光口插槽，其中千兆电口中包含一个HA口，一个MGMT口,冗余电源，网络吞吐量≥20G， 最大并发连接数&gt;1200万 用户数≥150000人 硬盘存储2T 设备内存64G；含三年系统版本，URL库及应用特征库升级许可升级更新和三年维保服务；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2、可对接入的移动终端区分出IOS终端、安卓终端，并可以根据所区分出的终端类型设置告警和拒绝动作；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3、支持通过指纹识别用户身份，并对用户做控制；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rPr>
              <w:t>▲4、支持分离互联网和自定义特殊网域，实现一个用户同时只能访问一个网域；可支持自定义8个网络区域（7个自定义区域+互联网区域）；可支持根据域名划分网络区域；（应提供截图证明，并提供第三方</w:t>
            </w:r>
            <w:r>
              <w:rPr>
                <w:rFonts w:hint="eastAsia"/>
                <w:b/>
                <w:bCs/>
                <w:color w:val="FF0000"/>
                <w:lang w:val="en-US" w:eastAsia="zh-CN"/>
              </w:rPr>
              <w:t>检测机构出具的能体现以上</w:t>
            </w:r>
            <w:r>
              <w:rPr>
                <w:rFonts w:hint="eastAsia"/>
                <w:b/>
                <w:bCs/>
                <w:color w:val="FF0000"/>
              </w:rPr>
              <w:t>功能</w:t>
            </w:r>
            <w:r>
              <w:rPr>
                <w:rFonts w:hint="eastAsia"/>
                <w:b/>
                <w:bCs/>
                <w:color w:val="FF0000"/>
                <w:lang w:eastAsia="zh-CN"/>
              </w:rPr>
              <w:t>的</w:t>
            </w:r>
            <w:r>
              <w:rPr>
                <w:rFonts w:hint="eastAsia"/>
                <w:b/>
                <w:bCs/>
                <w:color w:val="FF0000"/>
              </w:rPr>
              <w:t>测试报告扫描件</w:t>
            </w:r>
            <w:r>
              <w:rPr>
                <w:rFonts w:hint="eastAsia"/>
                <w:b/>
                <w:bCs/>
                <w:color w:val="FF0000"/>
                <w:lang w:val="en-US" w:eastAsia="zh-CN"/>
              </w:rPr>
              <w:t>，原件备查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5、可根据预设总带宽，实时智能识别策略匹配上线用户，并依照预设总带宽将流量对匹配用户进行智能平均分配；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b/>
                <w:bCs/>
                <w:color w:val="FF0000"/>
              </w:rPr>
              <w:t>▲6、产品具有中华人民共和国工业和信息化部《电信设备进网许可证》。（提供证书扫描件</w:t>
            </w:r>
            <w:r>
              <w:rPr>
                <w:rFonts w:hint="eastAsia"/>
                <w:b/>
                <w:bCs/>
                <w:color w:val="FF0000"/>
                <w:lang w:val="en-US" w:eastAsia="zh-CN"/>
              </w:rPr>
              <w:t>，原件备查</w:t>
            </w:r>
            <w:r>
              <w:rPr>
                <w:rFonts w:hint="eastAsia"/>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1.2</w:t>
            </w:r>
          </w:p>
        </w:tc>
        <w:tc>
          <w:tcPr>
            <w:tcW w:w="7575" w:type="dxa"/>
            <w:gridSpan w:val="2"/>
            <w:noWrap/>
            <w:vAlign w:val="center"/>
          </w:tcPr>
          <w:p>
            <w:r>
              <w:rPr>
                <w:rFonts w:hint="eastAsia"/>
              </w:rPr>
              <w:t>视频网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1.2.1</w:t>
            </w:r>
          </w:p>
        </w:tc>
        <w:tc>
          <w:tcPr>
            <w:tcW w:w="1406" w:type="dxa"/>
            <w:vMerge w:val="restart"/>
            <w:noWrap/>
            <w:vAlign w:val="center"/>
          </w:tcPr>
          <w:p>
            <w:r>
              <w:rPr>
                <w:rFonts w:hint="eastAsia"/>
              </w:rPr>
              <w:t>核心交换机</w:t>
            </w:r>
          </w:p>
        </w:tc>
        <w:tc>
          <w:tcPr>
            <w:tcW w:w="6169" w:type="dxa"/>
            <w:vAlign w:val="center"/>
          </w:tcPr>
          <w:p>
            <w:r>
              <w:rPr>
                <w:rFonts w:hint="eastAsia"/>
              </w:rPr>
              <w:t>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3、支持虚拟化堆叠，最大支持4台物理设备虚拟成1台；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b/>
                <w:bCs/>
                <w:color w:val="FF0000"/>
              </w:rPr>
            </w:pPr>
            <w:r>
              <w:rPr>
                <w:rFonts w:hint="eastAsia"/>
                <w:b/>
                <w:bCs/>
                <w:color w:val="FF0000"/>
              </w:rPr>
              <w:t>4、▲交换机采用的交换芯片为投标品牌自研国产化芯片，要求提供第三方检测报告扫描件</w:t>
            </w:r>
            <w:r>
              <w:rPr>
                <w:rFonts w:hint="eastAsia"/>
                <w:b/>
                <w:bCs/>
                <w:color w:val="FF0000"/>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b/>
                <w:bCs/>
                <w:color w:val="FF0000"/>
              </w:rPr>
            </w:pPr>
            <w:r>
              <w:rPr>
                <w:rFonts w:hint="eastAsia"/>
                <w:b/>
                <w:bCs/>
                <w:color w:val="FF0000"/>
              </w:rPr>
              <w:t>5、▲支持Telemetry协议，实时采集设备数据，提供第三方测试报告相关内容截图；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6、支持220V交流、48V直流、380V高压直流供电；支持VxLAN功能，支持同一个VxLAN网络内不同三层网段互通，支持不同VxLAN网络互通，支持VxLAN网络与非VxLAN网络互通，支持EVPN路由传递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w:t>
            </w:r>
          </w:p>
        </w:tc>
        <w:tc>
          <w:tcPr>
            <w:tcW w:w="7575" w:type="dxa"/>
            <w:gridSpan w:val="2"/>
            <w:noWrap/>
            <w:vAlign w:val="center"/>
          </w:tcPr>
          <w:p>
            <w:r>
              <w:rPr>
                <w:rFonts w:hint="eastAsia"/>
              </w:rPr>
              <w:t>海关网络设备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47" w:type="dxa"/>
            <w:vMerge w:val="restart"/>
            <w:noWrap/>
            <w:vAlign w:val="center"/>
          </w:tcPr>
          <w:p>
            <w:r>
              <w:rPr>
                <w:rFonts w:hint="eastAsia"/>
              </w:rPr>
              <w:t>2.1</w:t>
            </w:r>
          </w:p>
        </w:tc>
        <w:tc>
          <w:tcPr>
            <w:tcW w:w="1406" w:type="dxa"/>
            <w:vMerge w:val="restart"/>
            <w:noWrap/>
            <w:vAlign w:val="center"/>
          </w:tcPr>
          <w:p>
            <w:r>
              <w:rPr>
                <w:rFonts w:hint="eastAsia"/>
              </w:rPr>
              <w:t>汇聚交换机（管理网）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3.▲交换机采用的交换芯片为投标品牌自研国产化芯片，要求提供第三方检测报告扫描件</w:t>
            </w:r>
            <w:r>
              <w:rPr>
                <w:rFonts w:hint="eastAsia"/>
                <w:b/>
                <w:bCs/>
                <w:color w:val="FF0000"/>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4.支持ERPS环网保护协议，端到端30ms硬件级倒换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6、支持IPv4/IPv6双栈，支持IPv6地址、ICMPv6、UDP6/TCP6、DNSv6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7、支持MPLS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8、支持MPLS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47" w:type="dxa"/>
            <w:vMerge w:val="restart"/>
            <w:noWrap/>
            <w:vAlign w:val="center"/>
          </w:tcPr>
          <w:p>
            <w:r>
              <w:rPr>
                <w:rFonts w:hint="eastAsia"/>
              </w:rPr>
              <w:t>2.2</w:t>
            </w:r>
          </w:p>
        </w:tc>
        <w:tc>
          <w:tcPr>
            <w:tcW w:w="1406" w:type="dxa"/>
            <w:vMerge w:val="restart"/>
            <w:noWrap/>
            <w:vAlign w:val="center"/>
          </w:tcPr>
          <w:p>
            <w:r>
              <w:rPr>
                <w:rFonts w:hint="eastAsia"/>
              </w:rPr>
              <w:t>汇聚交换机（运行网）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eastAsia="宋体"/>
                <w:lang w:val="en-US" w:eastAsia="zh-CN"/>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3、▲支持虚拟化堆叠，最大支持4台物理设备虚拟成1台，提供第三方测试报告相关内容截图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b/>
                <w:bCs/>
              </w:rPr>
            </w:pPr>
            <w:r>
              <w:rPr>
                <w:rFonts w:hint="eastAsia"/>
                <w:b/>
                <w:bCs/>
                <w:color w:val="FF0000"/>
              </w:rPr>
              <w:t>4、▲支持ERPS环网保护协议，端到端30ms硬件级倒换，提供第三方测试报告相关内容截图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b/>
                <w:bCs/>
              </w:rPr>
            </w:pPr>
            <w:r>
              <w:rPr>
                <w:rFonts w:hint="eastAsia"/>
              </w:rPr>
              <w:t>5、支持IPv4/IPv6双栈，支持IPv6地址、ICMPv6、UDP6/TCP6、DNSv6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6、支持220V交流、48V直流、380V高压直流供电；支持VxLAN功能，支持同一个VxLAN网络内不同三层网段互通，支持不同VxLAN网络互通，支持VxLAN网络与非VxLAN网络互通，支持EVPN路由传递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7、支持4K VLAN、PVLAN、QinQ,STP、RSTP、MSTP生成树协议,SNMP V1/V2/V3、Telnet、SSHv2,CPU防攻击、ICMP Flood攻击防范、UDP Flood攻击防范、TCP SYN Flood攻击防范、Smurf攻击防护</w:t>
            </w:r>
          </w:p>
        </w:tc>
      </w:tr>
      <w:tr>
        <w:tblPrEx>
          <w:tblCellMar>
            <w:top w:w="0" w:type="dxa"/>
            <w:left w:w="108" w:type="dxa"/>
            <w:bottom w:w="0" w:type="dxa"/>
            <w:right w:w="108" w:type="dxa"/>
          </w:tblCellMar>
        </w:tblPrEx>
        <w:trPr>
          <w:trHeight w:val="602" w:hRule="atLeast"/>
          <w:jc w:val="center"/>
        </w:trPr>
        <w:tc>
          <w:tcPr>
            <w:tcW w:w="947" w:type="dxa"/>
            <w:vMerge w:val="restart"/>
            <w:noWrap/>
            <w:vAlign w:val="center"/>
          </w:tcPr>
          <w:p>
            <w:r>
              <w:rPr>
                <w:rFonts w:hint="eastAsia"/>
              </w:rPr>
              <w:t>2.3</w:t>
            </w:r>
          </w:p>
        </w:tc>
        <w:tc>
          <w:tcPr>
            <w:tcW w:w="1406" w:type="dxa"/>
            <w:vMerge w:val="restart"/>
            <w:noWrap/>
            <w:vAlign w:val="center"/>
          </w:tcPr>
          <w:p>
            <w:r>
              <w:rPr>
                <w:rFonts w:hint="eastAsia"/>
              </w:rPr>
              <w:t>汇聚交换机（H986网）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CellMar>
            <w:top w:w="0" w:type="dxa"/>
            <w:left w:w="108" w:type="dxa"/>
            <w:bottom w:w="0" w:type="dxa"/>
            <w:right w:w="108" w:type="dxa"/>
          </w:tblCellMar>
        </w:tblPrEx>
        <w:trPr>
          <w:trHeight w:val="12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3.支持虚拟化堆叠，最大支持4台物理设备虚拟成1台，提供第三方测试报告相关内容截图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4.▲交换机采用的交换芯片为投标品牌自研国产化芯片，要求提供第三方检测报告扫描件</w:t>
            </w:r>
            <w:r>
              <w:rPr>
                <w:rFonts w:hint="eastAsia"/>
                <w:b/>
                <w:bCs/>
                <w:color w:val="FF0000"/>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6、支持4K VLAN、PVLAN、QinQ,STP、RSTP、MSTP生成树协议,SNMP V1/V2/V3、Telnet、SSHv2,CPU防攻击、ICMP Flood攻击防范、UDP Flood攻击防范、TCP SYN Flood攻击防范、Smurf攻击防护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7、支持IPv4/IPv6双栈，支持IPv6地址、ICMPv6、UDP6/TCP6、DNSv6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8、支持MPLS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2.4</w:t>
            </w:r>
          </w:p>
        </w:tc>
        <w:tc>
          <w:tcPr>
            <w:tcW w:w="1406" w:type="dxa"/>
            <w:noWrap/>
            <w:vAlign w:val="center"/>
          </w:tcPr>
          <w:p>
            <w:r>
              <w:rPr>
                <w:rFonts w:hint="eastAsia"/>
              </w:rPr>
              <w:t>汇聚交换机（视频网）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一、网络设备及信息安全/1.口岸办网络设备/1.2视频网/1.2.1“</w:t>
            </w:r>
            <w:r>
              <w:rPr>
                <w:rFonts w:hint="eastAsia" w:ascii="宋体" w:hAnsi="宋体" w:cs="宋体"/>
                <w:color w:val="000000"/>
                <w:kern w:val="0"/>
                <w:szCs w:val="21"/>
              </w:rPr>
              <w:t>核心交换机”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7" w:type="dxa"/>
            <w:vMerge w:val="restart"/>
            <w:noWrap/>
            <w:vAlign w:val="center"/>
          </w:tcPr>
          <w:p>
            <w:r>
              <w:rPr>
                <w:rFonts w:hint="eastAsia"/>
              </w:rPr>
              <w:t>2.5</w:t>
            </w:r>
          </w:p>
        </w:tc>
        <w:tc>
          <w:tcPr>
            <w:tcW w:w="1406" w:type="dxa"/>
            <w:vMerge w:val="restart"/>
            <w:noWrap/>
            <w:vAlign w:val="center"/>
          </w:tcPr>
          <w:p>
            <w:r>
              <w:rPr>
                <w:rFonts w:hint="eastAsia"/>
              </w:rPr>
              <w:t>汇聚交换机（互联网）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3、▲支持虚拟化堆叠，最大支持4台物理设备虚拟成1台，提供第三方测试报告相关内容截图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4、▲交换机采用的交换芯片为投标品牌自研国产化芯片，要求提供第三方检测报告扫描件</w:t>
            </w:r>
            <w:r>
              <w:rPr>
                <w:rFonts w:hint="eastAsia"/>
                <w:b/>
                <w:bCs/>
                <w:color w:val="FF0000"/>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5、支持ERPS环网保护协议，端到端30ms硬件级倒换；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6、支持220V交流、48V直流、380V高压直流供电；支持VxLAN功能，支持同一个VxLAN网络内不同三层网段互通，支持不同VxLAN网络互通，支持VxLAN网络与非VxLAN网络互通，支持EVPN路由传递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7、支持IPv4/IPv6双栈，支持IPv6地址、ICMPv6、UDP6/TCP6、DNSv6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47" w:type="dxa"/>
            <w:vMerge w:val="restart"/>
            <w:shd w:val="clear" w:color="auto" w:fill="auto"/>
            <w:noWrap/>
            <w:vAlign w:val="center"/>
          </w:tcPr>
          <w:p>
            <w:r>
              <w:rPr>
                <w:rFonts w:hint="eastAsia"/>
              </w:rPr>
              <w:t>2.6</w:t>
            </w:r>
          </w:p>
        </w:tc>
        <w:tc>
          <w:tcPr>
            <w:tcW w:w="1406" w:type="dxa"/>
            <w:vMerge w:val="restart"/>
            <w:shd w:val="clear" w:color="000000" w:fill="FFFFFF"/>
            <w:vAlign w:val="center"/>
          </w:tcPr>
          <w:p>
            <w:r>
              <w:rPr>
                <w:rFonts w:hint="eastAsia"/>
              </w:rPr>
              <w:t>下一代防火墙（互联网）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一、网络设备及信息安全/1.口岸办网络设备/1.1政务外网/1.1.3“</w:t>
            </w:r>
            <w:r>
              <w:rPr>
                <w:rFonts w:hint="eastAsia" w:ascii="宋体" w:hAnsi="宋体" w:cs="宋体"/>
                <w:color w:val="000000"/>
                <w:kern w:val="0"/>
                <w:szCs w:val="21"/>
              </w:rPr>
              <w:t>下一代防火墙”。</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restart"/>
            <w:shd w:val="clear" w:color="auto" w:fill="auto"/>
            <w:noWrap/>
            <w:vAlign w:val="center"/>
          </w:tcPr>
          <w:p>
            <w:r>
              <w:rPr>
                <w:rFonts w:hint="eastAsia"/>
              </w:rPr>
              <w:t>2.7</w:t>
            </w:r>
          </w:p>
        </w:tc>
        <w:tc>
          <w:tcPr>
            <w:tcW w:w="1406" w:type="dxa"/>
            <w:vMerge w:val="restart"/>
            <w:shd w:val="clear" w:color="000000" w:fill="FFFFFF"/>
            <w:vAlign w:val="center"/>
          </w:tcPr>
          <w:p>
            <w:r>
              <w:rPr>
                <w:rFonts w:hint="eastAsia"/>
              </w:rPr>
              <w:t>入侵防御设备IPS（互联网）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一、网络设备及信息安全/1.口岸办网络设备/1.1政务外网/1.1.4“</w:t>
            </w:r>
            <w:r>
              <w:rPr>
                <w:rFonts w:hint="eastAsia" w:ascii="宋体" w:hAnsi="宋体" w:cs="宋体"/>
                <w:color w:val="000000"/>
                <w:kern w:val="0"/>
                <w:szCs w:val="21"/>
              </w:rPr>
              <w:t>入侵防御设备IPS”。</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47" w:type="dxa"/>
            <w:vMerge w:val="restart"/>
            <w:shd w:val="clear" w:color="auto" w:fill="auto"/>
            <w:noWrap/>
            <w:vAlign w:val="center"/>
          </w:tcPr>
          <w:p>
            <w:r>
              <w:rPr>
                <w:rFonts w:hint="eastAsia"/>
              </w:rPr>
              <w:t>2.8</w:t>
            </w:r>
          </w:p>
        </w:tc>
        <w:tc>
          <w:tcPr>
            <w:tcW w:w="1406" w:type="dxa"/>
            <w:vMerge w:val="restart"/>
            <w:shd w:val="clear" w:color="000000" w:fill="FFFFFF"/>
            <w:vAlign w:val="center"/>
          </w:tcPr>
          <w:p>
            <w:r>
              <w:rPr>
                <w:rFonts w:hint="eastAsia"/>
              </w:rPr>
              <w:t>上网行为管理（互联网）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一、网络设备及信息安全/1.口岸办网络设备/1.1政务外网/1.1.5“</w:t>
            </w:r>
            <w:r>
              <w:rPr>
                <w:rFonts w:hint="eastAsia" w:ascii="宋体" w:hAnsi="宋体" w:cs="宋体"/>
                <w:color w:val="000000"/>
                <w:kern w:val="0"/>
                <w:szCs w:val="21"/>
              </w:rPr>
              <w:t>上网行为管理”。</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2.9</w:t>
            </w:r>
          </w:p>
        </w:tc>
        <w:tc>
          <w:tcPr>
            <w:tcW w:w="1406" w:type="dxa"/>
            <w:vMerge w:val="restart"/>
            <w:noWrap/>
            <w:vAlign w:val="center"/>
          </w:tcPr>
          <w:p>
            <w:r>
              <w:rPr>
                <w:rFonts w:hint="eastAsia"/>
              </w:rPr>
              <w:t>语音程控交换机（语音网）</w:t>
            </w:r>
          </w:p>
        </w:tc>
        <w:tc>
          <w:tcPr>
            <w:tcW w:w="6169" w:type="dxa"/>
            <w:vAlign w:val="center"/>
          </w:tcPr>
          <w:p>
            <w:r>
              <w:rPr>
                <w:rFonts w:hint="eastAsia"/>
              </w:rPr>
              <w:t>1、支持MGCP、SIP、H.323等VoIP协议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2、支持多达6000个电话或3400个数字电话包括FlexAir无线和IP端口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 xml:space="preserve">2.10 </w:t>
            </w:r>
          </w:p>
        </w:tc>
        <w:tc>
          <w:tcPr>
            <w:tcW w:w="1406" w:type="dxa"/>
            <w:vMerge w:val="restart"/>
            <w:noWrap/>
            <w:vAlign w:val="center"/>
          </w:tcPr>
          <w:p>
            <w:r>
              <w:rPr>
                <w:rFonts w:hint="eastAsia"/>
              </w:rPr>
              <w:t>综合接入设备</w:t>
            </w:r>
          </w:p>
        </w:tc>
        <w:tc>
          <w:tcPr>
            <w:tcW w:w="6169" w:type="dxa"/>
            <w:vAlign w:val="center"/>
          </w:tcPr>
          <w:p>
            <w:r>
              <w:rPr>
                <w:rFonts w:hint="eastAsia"/>
              </w:rPr>
              <w:t xml:space="preserve">1、端口 RJ11型POTS：16/32 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2、RJ45以太网口：1路上行接口，3路下行接口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3、提供1路 网络协议 MGCP/SIP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4、RS232本地维护串口(console)：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w:t>
            </w:r>
          </w:p>
        </w:tc>
        <w:tc>
          <w:tcPr>
            <w:tcW w:w="7575" w:type="dxa"/>
            <w:gridSpan w:val="2"/>
            <w:noWrap/>
            <w:vAlign w:val="center"/>
          </w:tcPr>
          <w:p>
            <w:r>
              <w:rPr>
                <w:rFonts w:hint="eastAsia"/>
              </w:rPr>
              <w:t>边检网络设备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7" w:type="dxa"/>
            <w:vMerge w:val="restart"/>
            <w:noWrap/>
            <w:vAlign w:val="center"/>
          </w:tcPr>
          <w:p>
            <w:r>
              <w:rPr>
                <w:rFonts w:hint="eastAsia"/>
              </w:rPr>
              <w:t>3.1</w:t>
            </w:r>
          </w:p>
        </w:tc>
        <w:tc>
          <w:tcPr>
            <w:tcW w:w="1406" w:type="dxa"/>
            <w:vMerge w:val="restart"/>
            <w:noWrap/>
            <w:vAlign w:val="center"/>
          </w:tcPr>
          <w:p>
            <w:r>
              <w:rPr>
                <w:rFonts w:hint="eastAsia"/>
              </w:rPr>
              <w:t>汇聚交换机（公安网）</w:t>
            </w:r>
          </w:p>
        </w:tc>
        <w:tc>
          <w:tcPr>
            <w:tcW w:w="6169" w:type="dxa"/>
            <w:vAlign w:val="center"/>
          </w:tcPr>
          <w:p>
            <w:r>
              <w:rPr>
                <w:rFonts w:hint="eastAsia"/>
              </w:rPr>
              <w:t>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2、支持4K VLAN、PVLAN、QinQ,STP、RSTP、MSTP生成树协议,SNMP V1/V2/V3、Telnet、SSHv2,CPU防攻击、ICMP Flood攻击防范、UDP Flood攻击防范、TCP SYN Flood攻击防范、Smurf攻击防护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 xml:space="preserve">3、▲支持ERPS环网保护协议，端到端30ms硬件级倒换，提供第三方测试报告相关内容截图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4、▲交换机采用NP可编程架构，提供第三方测试报告相关内容截图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5、▲支持虚拟化堆叠，最大支持4台物理设备虚拟成1台，提供第三方测试报告相关内容截图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6、支持IPv4/IPv6双栈，支持IPv6地址、ICMPv6、UDP6/TCP6、DNSv6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7、支持220V交流、48V直流、380V高压直流供电；支持VxLAN功能，支持同一个VxLAN网络内不同三层网段互通，支持不同VxLAN网络互通，支持VxLAN网络与非VxLAN网络互通，支持EVPN路由传递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47" w:type="dxa"/>
            <w:vMerge w:val="restart"/>
            <w:noWrap/>
            <w:vAlign w:val="center"/>
          </w:tcPr>
          <w:p>
            <w:r>
              <w:rPr>
                <w:rFonts w:hint="eastAsia"/>
              </w:rPr>
              <w:t>3.2</w:t>
            </w:r>
          </w:p>
        </w:tc>
        <w:tc>
          <w:tcPr>
            <w:tcW w:w="1406" w:type="dxa"/>
            <w:vMerge w:val="restart"/>
            <w:noWrap/>
            <w:vAlign w:val="center"/>
          </w:tcPr>
          <w:p>
            <w:r>
              <w:rPr>
                <w:rFonts w:hint="eastAsia"/>
              </w:rPr>
              <w:t>汇聚交换机（业务网）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2.▲支持ERPS环网保护协议，端到端30ms硬件级倒换，提供第三方测试报告相关内容截图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3.▲支持虚拟化堆叠，最大支持4台物理设备虚拟成1台，提供第三方测试报告相关内容截图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b/>
                <w:bCs/>
                <w:color w:val="FF0000"/>
              </w:rPr>
              <w:t>4.▲交换机采用NP可编程架构，提供第三方测试报告相关内容截图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pPr>
              <w:rPr>
                <w:rFonts w:hint="eastAsia"/>
              </w:rPr>
            </w:pPr>
          </w:p>
        </w:tc>
        <w:tc>
          <w:tcPr>
            <w:tcW w:w="1406" w:type="dxa"/>
            <w:vMerge w:val="continue"/>
            <w:noWrap/>
            <w:vAlign w:val="center"/>
          </w:tcPr>
          <w:p>
            <w:pPr>
              <w:rPr>
                <w:rFonts w:hint="eastAsia"/>
              </w:rPr>
            </w:pPr>
          </w:p>
        </w:tc>
        <w:tc>
          <w:tcPr>
            <w:tcW w:w="6169" w:type="dxa"/>
            <w:vAlign w:val="center"/>
          </w:tcPr>
          <w:p>
            <w:pPr>
              <w:rPr>
                <w:rFonts w:hint="eastAsia"/>
              </w:rPr>
            </w:pPr>
            <w:r>
              <w:rPr>
                <w:rFonts w:hint="eastAsia"/>
              </w:rPr>
              <w:t>6.支持MPLS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7.支持MPLS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947" w:type="dxa"/>
            <w:vMerge w:val="restart"/>
            <w:noWrap/>
            <w:vAlign w:val="center"/>
          </w:tcPr>
          <w:p>
            <w:r>
              <w:rPr>
                <w:rFonts w:hint="eastAsia"/>
              </w:rPr>
              <w:t>3.3</w:t>
            </w:r>
          </w:p>
        </w:tc>
        <w:tc>
          <w:tcPr>
            <w:tcW w:w="1406" w:type="dxa"/>
            <w:vMerge w:val="restart"/>
            <w:noWrap/>
            <w:vAlign w:val="center"/>
          </w:tcPr>
          <w:p>
            <w:r>
              <w:rPr>
                <w:rFonts w:hint="eastAsia"/>
              </w:rPr>
              <w:t>汇聚交换机（梅沙网）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3.▲支持Telemetry协议，实时采集设备数据，提供第三方测试报告相关内容截图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4.支持ERPS环网保护协议，端到端30ms硬件级倒换；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6、支持IPv4/IPv6双栈，支持IPv6地址、ICMPv6、UDP6/TCP6、DNSv6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7、支持MPLS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8、支持MPLS L3VPN、MPLS L2VPN - VPLS、MPLS L2VPN - VPWS,Link ACL、IPv4 ACL、IPv6 ACL、ACL VLAN绑定,SP队列调度，支持SP+WRR队列调度，支持端口入口限速，流量监管，CAR丢弃策略，端口流量整形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47" w:type="dxa"/>
            <w:vMerge w:val="restart"/>
            <w:noWrap/>
            <w:vAlign w:val="center"/>
          </w:tcPr>
          <w:p>
            <w:r>
              <w:rPr>
                <w:rFonts w:hint="eastAsia"/>
              </w:rPr>
              <w:t>3.4</w:t>
            </w:r>
          </w:p>
        </w:tc>
        <w:tc>
          <w:tcPr>
            <w:tcW w:w="1406" w:type="dxa"/>
            <w:vMerge w:val="restart"/>
            <w:noWrap/>
            <w:vAlign w:val="center"/>
          </w:tcPr>
          <w:p>
            <w:r>
              <w:rPr>
                <w:rFonts w:hint="eastAsia"/>
              </w:rPr>
              <w:t>汇聚交换机（视频网）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3、支持虚拟化堆叠，最大支持4台物理设备虚拟成1台；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default" w:eastAsia="宋体"/>
                <w:lang w:val="en-US" w:eastAsia="zh-CN"/>
              </w:rPr>
            </w:pPr>
            <w:r>
              <w:rPr>
                <w:rFonts w:hint="eastAsia"/>
                <w:b/>
                <w:bCs/>
                <w:color w:val="FF0000"/>
              </w:rPr>
              <w:t>4、▲交换机采用的交换芯片为投标品牌自研国产化芯片，要求提供第三方</w:t>
            </w:r>
            <w:r>
              <w:rPr>
                <w:rFonts w:hint="eastAsia"/>
                <w:b/>
                <w:bCs/>
                <w:color w:val="FF0000"/>
                <w:lang w:val="en-US" w:eastAsia="zh-CN"/>
              </w:rPr>
              <w:t>检测机构出具的</w:t>
            </w:r>
            <w:r>
              <w:rPr>
                <w:rFonts w:hint="eastAsia"/>
                <w:b/>
                <w:bCs/>
                <w:color w:val="FF0000"/>
              </w:rPr>
              <w:t>检测报告</w:t>
            </w:r>
            <w:r>
              <w:rPr>
                <w:rFonts w:hint="eastAsia"/>
                <w:b/>
                <w:bCs/>
                <w:color w:val="FF0000"/>
                <w:lang w:val="en-US" w:eastAsia="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5、▲支持Telemetry协议，实时采集设备数据，提供第三方测试报告相关内容截图；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6、支持220V交流、48V直流、380V高压直流供电；支持VxLAN功能，支持同一个VxLAN网络内不同三层网段互通，支持不同VxLAN网络互通，支持VxLAN网络与非VxLAN网络互通，支持EVPN路由传递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3.5</w:t>
            </w:r>
          </w:p>
        </w:tc>
        <w:tc>
          <w:tcPr>
            <w:tcW w:w="1406" w:type="dxa"/>
            <w:noWrap/>
            <w:vAlign w:val="center"/>
          </w:tcPr>
          <w:p>
            <w:r>
              <w:rPr>
                <w:rFonts w:hint="eastAsia"/>
              </w:rPr>
              <w:t>汇聚交换机</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一、网络设备及信息安全/1.口岸办网络设备/1.1政务外网/“</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3.6</w:t>
            </w:r>
          </w:p>
        </w:tc>
        <w:tc>
          <w:tcPr>
            <w:tcW w:w="1406" w:type="dxa"/>
            <w:vMerge w:val="restart"/>
            <w:noWrap/>
            <w:vAlign w:val="center"/>
          </w:tcPr>
          <w:p>
            <w:r>
              <w:rPr>
                <w:rFonts w:hint="eastAsia"/>
              </w:rPr>
              <w:t>语音程控交换机（语音网）</w:t>
            </w:r>
          </w:p>
        </w:tc>
        <w:tc>
          <w:tcPr>
            <w:tcW w:w="6169" w:type="dxa"/>
            <w:vAlign w:val="center"/>
          </w:tcPr>
          <w:p>
            <w:r>
              <w:rPr>
                <w:rFonts w:hint="eastAsia"/>
              </w:rPr>
              <w:t>1、支持MGCP、SIP、H.323等VoIP协议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2、支持多达6000个电话或3400个数字电话包括FlexAir无线和IP端口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3.7</w:t>
            </w:r>
          </w:p>
        </w:tc>
        <w:tc>
          <w:tcPr>
            <w:tcW w:w="1406" w:type="dxa"/>
            <w:vMerge w:val="restart"/>
            <w:noWrap/>
            <w:vAlign w:val="center"/>
          </w:tcPr>
          <w:p>
            <w:r>
              <w:rPr>
                <w:rFonts w:hint="eastAsia"/>
              </w:rPr>
              <w:t>综合接入设备</w:t>
            </w:r>
          </w:p>
        </w:tc>
        <w:tc>
          <w:tcPr>
            <w:tcW w:w="6169" w:type="dxa"/>
            <w:vAlign w:val="center"/>
          </w:tcPr>
          <w:p>
            <w:r>
              <w:rPr>
                <w:rFonts w:hint="eastAsia"/>
              </w:rPr>
              <w:t xml:space="preserve">1、端口 RJ11型POTS：16/32 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2、RJ45以太网口：1路上行接口，3路下行接口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3、提供1路 网络协议 MGCP/SIP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4、RS232本地维护串口(console)：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7" w:type="dxa"/>
            <w:vMerge w:val="restart"/>
            <w:noWrap/>
            <w:vAlign w:val="center"/>
          </w:tcPr>
          <w:p>
            <w:r>
              <w:rPr>
                <w:rFonts w:hint="eastAsia"/>
              </w:rPr>
              <w:t>3.8</w:t>
            </w:r>
          </w:p>
        </w:tc>
        <w:tc>
          <w:tcPr>
            <w:tcW w:w="1406" w:type="dxa"/>
            <w:vMerge w:val="restart"/>
            <w:noWrap/>
            <w:vAlign w:val="center"/>
          </w:tcPr>
          <w:p>
            <w:r>
              <w:rPr>
                <w:rFonts w:hint="eastAsia"/>
              </w:rPr>
              <w:t>汇聚交换机（互联网）</w:t>
            </w:r>
          </w:p>
        </w:tc>
        <w:tc>
          <w:tcPr>
            <w:tcW w:w="6169"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2、▲交换机采用NP可编程架构，提供第三方测试报告相关内容截图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3、▲支持虚拟化堆叠，最大支持4台物理设备虚拟成1台，提供第三方测试报告相关内容截图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b/>
                <w:bCs/>
                <w:color w:val="FF0000"/>
              </w:rPr>
              <w:t>4、▲交换机采用的交换芯片为投标品牌自研国产化芯片，要求提供第三方</w:t>
            </w:r>
            <w:r>
              <w:rPr>
                <w:rFonts w:hint="eastAsia"/>
                <w:b/>
                <w:bCs/>
                <w:color w:val="FF0000"/>
                <w:lang w:val="en-US" w:eastAsia="zh-CN"/>
              </w:rPr>
              <w:t>检测机构出具的</w:t>
            </w:r>
            <w:r>
              <w:rPr>
                <w:rFonts w:hint="eastAsia"/>
                <w:b/>
                <w:bCs/>
                <w:color w:val="FF0000"/>
              </w:rPr>
              <w:t>检测报告</w:t>
            </w:r>
            <w:r>
              <w:rPr>
                <w:rFonts w:hint="eastAsia"/>
                <w:b/>
                <w:bCs/>
                <w:color w:val="FF0000"/>
                <w:lang w:val="en-US" w:eastAsia="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b/>
                <w:bCs/>
              </w:rPr>
            </w:pPr>
            <w:r>
              <w:rPr>
                <w:rFonts w:hint="eastAsia"/>
              </w:rPr>
              <w:t>5、支持ERPS环网保护协议，端到端30ms硬件级倒换；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continue"/>
            <w:noWrap/>
            <w:vAlign w:val="center"/>
          </w:tcPr>
          <w:p/>
        </w:tc>
        <w:tc>
          <w:tcPr>
            <w:tcW w:w="1406" w:type="dxa"/>
            <w:vMerge w:val="continue"/>
            <w:noWrap/>
            <w:vAlign w:val="center"/>
          </w:tcPr>
          <w:p/>
        </w:tc>
        <w:tc>
          <w:tcPr>
            <w:tcW w:w="6169" w:type="dxa"/>
            <w:vAlign w:val="center"/>
          </w:tcPr>
          <w:p>
            <w:pPr>
              <w:rPr>
                <w:rFonts w:hint="eastAsia"/>
              </w:rPr>
            </w:pPr>
            <w:r>
              <w:rPr>
                <w:rFonts w:hint="eastAsia"/>
              </w:rPr>
              <w:t>6、支持220V交流、48V直流、380V高压直流供电5、支持VxLAN功能，支持同一个VxLAN网络内不同三层网段互通，支持不同VxLAN网络互通，支持VxLAN网络与非VxLAN网络互通，支持EVPN路由传递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47" w:type="dxa"/>
            <w:vMerge w:val="continue"/>
            <w:noWrap/>
            <w:vAlign w:val="center"/>
          </w:tcPr>
          <w:p/>
        </w:tc>
        <w:tc>
          <w:tcPr>
            <w:tcW w:w="1406" w:type="dxa"/>
            <w:vMerge w:val="continue"/>
            <w:noWrap/>
            <w:vAlign w:val="center"/>
          </w:tcPr>
          <w:p/>
        </w:tc>
        <w:tc>
          <w:tcPr>
            <w:tcW w:w="6169" w:type="dxa"/>
            <w:vAlign w:val="center"/>
          </w:tcPr>
          <w:p>
            <w:r>
              <w:rPr>
                <w:rFonts w:hint="eastAsia"/>
              </w:rPr>
              <w:t>7、支持IPv4/IPv6双栈，支持IPv6地址、ICMPv6、UDP6/TCP6、DNSv6 Client，支持DHCPv6 Snooping、DHCPv6 Relay/Proxy、DHCPv6 Server、DHCPv6 Option37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3.9</w:t>
            </w:r>
          </w:p>
        </w:tc>
        <w:tc>
          <w:tcPr>
            <w:tcW w:w="1406" w:type="dxa"/>
            <w:noWrap/>
            <w:vAlign w:val="center"/>
          </w:tcPr>
          <w:p>
            <w:r>
              <w:rPr>
                <w:rFonts w:hint="eastAsia"/>
              </w:rPr>
              <w:t>下一代防火墙（互联网）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一、网络设备及信息安全/1.口岸办网络设备/1.1政务外网/1.1.3“</w:t>
            </w:r>
            <w:r>
              <w:rPr>
                <w:rFonts w:hint="eastAsia" w:ascii="宋体" w:hAnsi="宋体" w:cs="宋体"/>
                <w:color w:val="000000"/>
                <w:kern w:val="0"/>
                <w:szCs w:val="21"/>
              </w:rPr>
              <w:t>下一代防火墙”。</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 xml:space="preserve">3.10 </w:t>
            </w:r>
          </w:p>
        </w:tc>
        <w:tc>
          <w:tcPr>
            <w:tcW w:w="1406" w:type="dxa"/>
            <w:noWrap/>
            <w:vAlign w:val="center"/>
          </w:tcPr>
          <w:p>
            <w:r>
              <w:rPr>
                <w:rFonts w:hint="eastAsia"/>
              </w:rPr>
              <w:t>入侵防御设备IPS（互联网）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一、网络设备及信息安全/1.口岸办网络设备/1.1政务外网/1.1.4“入侵防御设备IPS</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3.11</w:t>
            </w:r>
          </w:p>
        </w:tc>
        <w:tc>
          <w:tcPr>
            <w:tcW w:w="1406" w:type="dxa"/>
            <w:noWrap/>
            <w:vAlign w:val="center"/>
          </w:tcPr>
          <w:p>
            <w:r>
              <w:rPr>
                <w:rFonts w:hint="eastAsia"/>
              </w:rPr>
              <w:t>上网行为管理（互联网）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一、网络设备及信息安全/1.口岸办网络设备/1.1政务外网/1.1.5“上网行为管理</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w:t>
            </w:r>
          </w:p>
        </w:tc>
        <w:tc>
          <w:tcPr>
            <w:tcW w:w="7575" w:type="dxa"/>
            <w:gridSpan w:val="2"/>
            <w:noWrap/>
            <w:vAlign w:val="center"/>
          </w:tcPr>
          <w:p>
            <w:r>
              <w:rPr>
                <w:rFonts w:hint="eastAsia"/>
              </w:rPr>
              <w:t>缉私局网络设备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w:t>
            </w:r>
          </w:p>
        </w:tc>
        <w:tc>
          <w:tcPr>
            <w:tcW w:w="1406" w:type="dxa"/>
            <w:noWrap/>
            <w:vAlign w:val="center"/>
          </w:tcPr>
          <w:p>
            <w:r>
              <w:rPr>
                <w:rFonts w:hint="eastAsia"/>
              </w:rPr>
              <w:t>核心交换机（运行网）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一、网络设备及信息安全/2.海关网络设备/2.2“</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4.2</w:t>
            </w:r>
          </w:p>
        </w:tc>
        <w:tc>
          <w:tcPr>
            <w:tcW w:w="1406" w:type="dxa"/>
            <w:noWrap/>
            <w:vAlign w:val="center"/>
          </w:tcPr>
          <w:p>
            <w:r>
              <w:rPr>
                <w:rFonts w:hint="eastAsia"/>
              </w:rPr>
              <w:t>汇聚交换机（运行网）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一、网络设备及信息安全/1.口岸办网络设备/1.1政务外网/“</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4.3</w:t>
            </w:r>
          </w:p>
        </w:tc>
        <w:tc>
          <w:tcPr>
            <w:tcW w:w="1406" w:type="dxa"/>
            <w:noWrap/>
            <w:vAlign w:val="center"/>
          </w:tcPr>
          <w:p>
            <w:r>
              <w:rPr>
                <w:rFonts w:hint="eastAsia"/>
              </w:rPr>
              <w:t>核心交换机（管理网）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一、网络设备及信息安全/2.海关网络设备/2.1 “</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4.4</w:t>
            </w:r>
          </w:p>
        </w:tc>
        <w:tc>
          <w:tcPr>
            <w:tcW w:w="1406" w:type="dxa"/>
            <w:noWrap/>
            <w:vAlign w:val="center"/>
          </w:tcPr>
          <w:p>
            <w:r>
              <w:rPr>
                <w:rFonts w:hint="eastAsia"/>
              </w:rPr>
              <w:t>汇聚交换机（管理网）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一、网络设备及信息安全/1.口岸办网络设备/1.1政务外网/“</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4.5</w:t>
            </w:r>
          </w:p>
        </w:tc>
        <w:tc>
          <w:tcPr>
            <w:tcW w:w="1406" w:type="dxa"/>
            <w:noWrap/>
            <w:vAlign w:val="center"/>
          </w:tcPr>
          <w:p>
            <w:r>
              <w:rPr>
                <w:rFonts w:hint="eastAsia"/>
              </w:rPr>
              <w:t>核心交换机（视频网）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一、网络设备及信息安全/1.口岸办网络设备/1.2视频网/1.2.1“</w:t>
            </w:r>
            <w:r>
              <w:rPr>
                <w:rFonts w:hint="eastAsia" w:ascii="宋体" w:hAnsi="宋体" w:cs="宋体"/>
                <w:color w:val="000000"/>
                <w:kern w:val="0"/>
                <w:szCs w:val="21"/>
              </w:rPr>
              <w:t>核心交换机”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4.6</w:t>
            </w:r>
          </w:p>
        </w:tc>
        <w:tc>
          <w:tcPr>
            <w:tcW w:w="1406" w:type="dxa"/>
            <w:noWrap/>
            <w:vAlign w:val="center"/>
          </w:tcPr>
          <w:p>
            <w:r>
              <w:rPr>
                <w:rFonts w:hint="eastAsia"/>
              </w:rPr>
              <w:t>汇聚交换机（公安网）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一、网络设备及信息安全/3.边检网络设备/3.1“</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4.7</w:t>
            </w:r>
          </w:p>
        </w:tc>
        <w:tc>
          <w:tcPr>
            <w:tcW w:w="1406" w:type="dxa"/>
            <w:noWrap/>
            <w:vAlign w:val="center"/>
          </w:tcPr>
          <w:p>
            <w:r>
              <w:rPr>
                <w:rFonts w:hint="eastAsia"/>
              </w:rPr>
              <w:t>语音程控交换机（语音网）</w:t>
            </w:r>
          </w:p>
        </w:tc>
        <w:tc>
          <w:tcPr>
            <w:tcW w:w="6169" w:type="dxa"/>
            <w:vAlign w:val="center"/>
          </w:tcPr>
          <w:p>
            <w:pPr>
              <w:pStyle w:val="81"/>
              <w:numPr>
                <w:ilvl w:val="0"/>
                <w:numId w:val="0"/>
              </w:numPr>
            </w:pPr>
            <w:r>
              <w:rPr>
                <w:rFonts w:hint="eastAsia"/>
                <w:lang w:val="en-US" w:eastAsia="zh-CN"/>
              </w:rPr>
              <w:t>1、</w:t>
            </w:r>
            <w:r>
              <w:rPr>
                <w:rFonts w:hint="eastAsia"/>
              </w:rPr>
              <w:t>支持MGCP、SIP、H.323等VoIP协议</w:t>
            </w:r>
          </w:p>
          <w:p>
            <w:pPr>
              <w:pStyle w:val="81"/>
              <w:numPr>
                <w:ilvl w:val="0"/>
                <w:numId w:val="0"/>
              </w:numPr>
            </w:pPr>
            <w:r>
              <w:rPr>
                <w:rFonts w:hint="eastAsia"/>
                <w:lang w:val="en-US" w:eastAsia="zh-CN"/>
              </w:rPr>
              <w:t>2、</w:t>
            </w:r>
            <w:r>
              <w:rPr>
                <w:rFonts w:hint="eastAsia"/>
              </w:rPr>
              <w:t>支持多达6000个电话或3400个数字电话包括FlexAir无线和IP端口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restart"/>
            <w:noWrap/>
            <w:vAlign w:val="center"/>
          </w:tcPr>
          <w:p>
            <w:r>
              <w:rPr>
                <w:rFonts w:hint="eastAsia"/>
              </w:rPr>
              <w:t>4.8</w:t>
            </w:r>
          </w:p>
        </w:tc>
        <w:tc>
          <w:tcPr>
            <w:tcW w:w="1406" w:type="dxa"/>
            <w:vMerge w:val="restart"/>
            <w:noWrap/>
            <w:vAlign w:val="center"/>
          </w:tcPr>
          <w:p>
            <w:r>
              <w:rPr>
                <w:rFonts w:hint="eastAsia"/>
              </w:rPr>
              <w:t>综合接入设备</w:t>
            </w:r>
          </w:p>
        </w:tc>
        <w:tc>
          <w:tcPr>
            <w:tcW w:w="6169" w:type="dxa"/>
            <w:vAlign w:val="center"/>
          </w:tcPr>
          <w:p>
            <w:r>
              <w:rPr>
                <w:rFonts w:hint="eastAsia"/>
              </w:rPr>
              <w:t xml:space="preserve">1、端口 RJ11型POTS：16/32 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2、RJ45以太网口：1路上行接口，3路下行接口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 xml:space="preserve">3、提供1路 网络协议 MGCP/SIP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vAlign w:val="center"/>
          </w:tcPr>
          <w:p/>
        </w:tc>
        <w:tc>
          <w:tcPr>
            <w:tcW w:w="1406" w:type="dxa"/>
            <w:vMerge w:val="continue"/>
            <w:vAlign w:val="center"/>
          </w:tcPr>
          <w:p/>
        </w:tc>
        <w:tc>
          <w:tcPr>
            <w:tcW w:w="6169" w:type="dxa"/>
            <w:vAlign w:val="center"/>
          </w:tcPr>
          <w:p>
            <w:r>
              <w:rPr>
                <w:rFonts w:hint="eastAsia"/>
              </w:rPr>
              <w:t>4、RS232本地维护串口(console)：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4.9</w:t>
            </w:r>
          </w:p>
        </w:tc>
        <w:tc>
          <w:tcPr>
            <w:tcW w:w="1406" w:type="dxa"/>
            <w:noWrap/>
            <w:vAlign w:val="center"/>
          </w:tcPr>
          <w:p>
            <w:r>
              <w:rPr>
                <w:rFonts w:hint="eastAsia"/>
              </w:rPr>
              <w:t>汇聚交换机（互联网）</w:t>
            </w:r>
          </w:p>
        </w:tc>
        <w:tc>
          <w:tcPr>
            <w:tcW w:w="6169"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一、网络设备及信息安全/2.海关网络设备/2.5“</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 xml:space="preserve">4.10 </w:t>
            </w:r>
          </w:p>
        </w:tc>
        <w:tc>
          <w:tcPr>
            <w:tcW w:w="1406" w:type="dxa"/>
            <w:noWrap/>
            <w:vAlign w:val="center"/>
          </w:tcPr>
          <w:p>
            <w:r>
              <w:rPr>
                <w:rFonts w:hint="eastAsia"/>
              </w:rPr>
              <w:t>下一代防火墙（互联网）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一、网络设备及信息安全/1.口岸办网络设备/1.1政务外网/1.1.3“</w:t>
            </w:r>
            <w:r>
              <w:rPr>
                <w:rFonts w:hint="eastAsia" w:ascii="宋体" w:hAnsi="宋体" w:cs="宋体"/>
                <w:color w:val="000000"/>
                <w:kern w:val="0"/>
                <w:szCs w:val="21"/>
              </w:rPr>
              <w:t>下一代防火墙”。</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4.11</w:t>
            </w:r>
          </w:p>
        </w:tc>
        <w:tc>
          <w:tcPr>
            <w:tcW w:w="1406" w:type="dxa"/>
            <w:noWrap/>
            <w:vAlign w:val="center"/>
          </w:tcPr>
          <w:p>
            <w:r>
              <w:rPr>
                <w:rFonts w:hint="eastAsia"/>
              </w:rPr>
              <w:t>入侵防御设备IPS（互联网）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一、网络设备及信息安全/1.口岸办网络设备/1.1政务外网/1.1.4“入侵防御设备IPS</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4.12</w:t>
            </w:r>
          </w:p>
        </w:tc>
        <w:tc>
          <w:tcPr>
            <w:tcW w:w="1406" w:type="dxa"/>
            <w:noWrap/>
            <w:vAlign w:val="center"/>
          </w:tcPr>
          <w:p>
            <w:r>
              <w:rPr>
                <w:rFonts w:hint="eastAsia"/>
              </w:rPr>
              <w:t>上网行为管理（互联网）</w:t>
            </w:r>
          </w:p>
        </w:tc>
        <w:tc>
          <w:tcPr>
            <w:tcW w:w="6169" w:type="dxa"/>
            <w:vAlign w:val="center"/>
          </w:tcPr>
          <w:p>
            <w:r>
              <w:rPr>
                <w:rFonts w:hint="eastAsia" w:ascii="宋体" w:hAnsi="宋体" w:cs="宋体"/>
                <w:kern w:val="0"/>
                <w:szCs w:val="21"/>
              </w:rPr>
              <w:t>参数同上</w:t>
            </w:r>
            <w:r>
              <w:rPr>
                <w:rFonts w:hint="eastAsia"/>
              </w:rPr>
              <w:t>一、网络设备及信息安全/1.口岸办网络设备/1.1政务外网/1.1.5“上网行为管理</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二</w:t>
            </w:r>
          </w:p>
        </w:tc>
        <w:tc>
          <w:tcPr>
            <w:tcW w:w="1406" w:type="dxa"/>
            <w:noWrap/>
            <w:vAlign w:val="center"/>
          </w:tcPr>
          <w:p>
            <w:r>
              <w:rPr>
                <w:rFonts w:hint="eastAsia"/>
              </w:rPr>
              <w:t>光缆建设</w:t>
            </w:r>
          </w:p>
        </w:tc>
        <w:tc>
          <w:tcPr>
            <w:tcW w:w="6169" w:type="dxa"/>
            <w:noWrap/>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1</w:t>
            </w:r>
          </w:p>
        </w:tc>
        <w:tc>
          <w:tcPr>
            <w:tcW w:w="1406" w:type="dxa"/>
            <w:vAlign w:val="center"/>
          </w:tcPr>
          <w:p>
            <w:r>
              <w:rPr>
                <w:rFonts w:hint="eastAsia"/>
              </w:rPr>
              <w:t>敷设光缆1（皇岗临时旅检楼-新综合业务楼，口岸办）</w:t>
            </w:r>
          </w:p>
        </w:tc>
        <w:tc>
          <w:tcPr>
            <w:tcW w:w="6169" w:type="dxa"/>
            <w:vAlign w:val="center"/>
          </w:tcPr>
          <w:p>
            <w:r>
              <w:rPr>
                <w:rFonts w:hint="eastAsia"/>
              </w:rPr>
              <w:t>路由1：铺设皇岗临时旅检楼-新综合业务楼48芯骨干光缆（口岸办）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2</w:t>
            </w:r>
          </w:p>
        </w:tc>
        <w:tc>
          <w:tcPr>
            <w:tcW w:w="1406" w:type="dxa"/>
            <w:vAlign w:val="center"/>
          </w:tcPr>
          <w:p>
            <w:r>
              <w:rPr>
                <w:rFonts w:hint="eastAsia"/>
              </w:rPr>
              <w:t>敷设光缆2（皇岗临时旅检楼-新综合业务楼，口岸办）</w:t>
            </w:r>
          </w:p>
        </w:tc>
        <w:tc>
          <w:tcPr>
            <w:tcW w:w="6169" w:type="dxa"/>
            <w:vAlign w:val="center"/>
          </w:tcPr>
          <w:p>
            <w:r>
              <w:rPr>
                <w:rFonts w:hint="eastAsia"/>
              </w:rPr>
              <w:t>路由2：铺设皇岗临时旅检楼-新综合业务楼48芯骨干光缆（口岸办）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3</w:t>
            </w:r>
          </w:p>
        </w:tc>
        <w:tc>
          <w:tcPr>
            <w:tcW w:w="1406" w:type="dxa"/>
            <w:vAlign w:val="center"/>
          </w:tcPr>
          <w:p>
            <w:r>
              <w:rPr>
                <w:rFonts w:hint="eastAsia"/>
              </w:rPr>
              <w:t>敷设光缆3（皇岗海关-新综合业务楼）</w:t>
            </w:r>
          </w:p>
        </w:tc>
        <w:tc>
          <w:tcPr>
            <w:tcW w:w="6169" w:type="dxa"/>
            <w:vAlign w:val="center"/>
          </w:tcPr>
          <w:p>
            <w:r>
              <w:rPr>
                <w:rFonts w:hint="eastAsia"/>
              </w:rPr>
              <w:t>路由3：铺设皇岗海关-新综合业务楼48芯骨干光缆（海关）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4</w:t>
            </w:r>
          </w:p>
        </w:tc>
        <w:tc>
          <w:tcPr>
            <w:tcW w:w="1406" w:type="dxa"/>
            <w:vAlign w:val="center"/>
          </w:tcPr>
          <w:p>
            <w:r>
              <w:rPr>
                <w:rFonts w:hint="eastAsia"/>
              </w:rPr>
              <w:t>敷设光缆4（皇岗海关-新综合业务楼）</w:t>
            </w:r>
          </w:p>
        </w:tc>
        <w:tc>
          <w:tcPr>
            <w:tcW w:w="6169" w:type="dxa"/>
            <w:vAlign w:val="center"/>
          </w:tcPr>
          <w:p>
            <w:r>
              <w:rPr>
                <w:rFonts w:hint="eastAsia"/>
              </w:rPr>
              <w:t>路由4：铺设皇岗海关-新综合业务楼48芯骨干光缆（海关）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5</w:t>
            </w:r>
          </w:p>
        </w:tc>
        <w:tc>
          <w:tcPr>
            <w:tcW w:w="1406" w:type="dxa"/>
            <w:vAlign w:val="center"/>
          </w:tcPr>
          <w:p>
            <w:r>
              <w:rPr>
                <w:rFonts w:hint="eastAsia"/>
              </w:rPr>
              <w:t>敷设光缆5（皇岗边检-新综合业务楼）</w:t>
            </w:r>
          </w:p>
        </w:tc>
        <w:tc>
          <w:tcPr>
            <w:tcW w:w="6169" w:type="dxa"/>
            <w:vAlign w:val="center"/>
          </w:tcPr>
          <w:p>
            <w:r>
              <w:rPr>
                <w:rFonts w:hint="eastAsia"/>
              </w:rPr>
              <w:t>路由5：铺设皇岗边检-新综合业务楼48芯骨干光缆（边检）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6</w:t>
            </w:r>
          </w:p>
        </w:tc>
        <w:tc>
          <w:tcPr>
            <w:tcW w:w="1406" w:type="dxa"/>
            <w:vAlign w:val="center"/>
          </w:tcPr>
          <w:p>
            <w:r>
              <w:rPr>
                <w:rFonts w:hint="eastAsia"/>
              </w:rPr>
              <w:t>敷设光缆6（皇岗边检-新综合业务楼）</w:t>
            </w:r>
          </w:p>
        </w:tc>
        <w:tc>
          <w:tcPr>
            <w:tcW w:w="6169" w:type="dxa"/>
            <w:vAlign w:val="center"/>
          </w:tcPr>
          <w:p>
            <w:r>
              <w:rPr>
                <w:rFonts w:hint="eastAsia"/>
              </w:rPr>
              <w:t>路由6：铺设皇岗边检-新综合业务楼48芯骨干光缆（边检）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7</w:t>
            </w:r>
          </w:p>
        </w:tc>
        <w:tc>
          <w:tcPr>
            <w:tcW w:w="1406" w:type="dxa"/>
            <w:vAlign w:val="center"/>
          </w:tcPr>
          <w:p>
            <w:r>
              <w:rPr>
                <w:rFonts w:hint="eastAsia"/>
              </w:rPr>
              <w:t>敷设光缆7（皇岗缉私局-新综合业务楼）</w:t>
            </w:r>
          </w:p>
        </w:tc>
        <w:tc>
          <w:tcPr>
            <w:tcW w:w="6169" w:type="dxa"/>
            <w:vAlign w:val="center"/>
          </w:tcPr>
          <w:p>
            <w:r>
              <w:rPr>
                <w:rFonts w:hint="eastAsia"/>
              </w:rPr>
              <w:t>路由7：铺设皇岗缉私局-新综合业务楼48芯骨干光缆（缉私）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7" w:type="dxa"/>
            <w:noWrap/>
            <w:vAlign w:val="center"/>
          </w:tcPr>
          <w:p>
            <w:r>
              <w:rPr>
                <w:rFonts w:hint="eastAsia"/>
              </w:rPr>
              <w:t>8</w:t>
            </w:r>
          </w:p>
        </w:tc>
        <w:tc>
          <w:tcPr>
            <w:tcW w:w="1406" w:type="dxa"/>
            <w:vAlign w:val="center"/>
          </w:tcPr>
          <w:p>
            <w:r>
              <w:rPr>
                <w:rFonts w:hint="eastAsia"/>
              </w:rPr>
              <w:t>敷设光缆8（皇岗缉私局-新综合业务楼）</w:t>
            </w:r>
          </w:p>
        </w:tc>
        <w:tc>
          <w:tcPr>
            <w:tcW w:w="6169" w:type="dxa"/>
            <w:vAlign w:val="center"/>
          </w:tcPr>
          <w:p>
            <w:r>
              <w:rPr>
                <w:rFonts w:hint="eastAsia"/>
              </w:rPr>
              <w:t>路由8：铺设皇岗缉私局-新综合业务楼48芯骨干光缆（缉私）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noWrap/>
            <w:vAlign w:val="center"/>
          </w:tcPr>
          <w:p>
            <w:r>
              <w:rPr>
                <w:rFonts w:hint="eastAsia"/>
              </w:rPr>
              <w:t>9</w:t>
            </w:r>
          </w:p>
        </w:tc>
        <w:tc>
          <w:tcPr>
            <w:tcW w:w="1406" w:type="dxa"/>
            <w:vAlign w:val="center"/>
          </w:tcPr>
          <w:p>
            <w:r>
              <w:rPr>
                <w:rFonts w:hint="eastAsia"/>
              </w:rPr>
              <w:t>传输管道管孔租赁费用</w:t>
            </w:r>
          </w:p>
        </w:tc>
        <w:tc>
          <w:tcPr>
            <w:tcW w:w="6169" w:type="dxa"/>
            <w:vAlign w:val="center"/>
          </w:tcPr>
          <w:p>
            <w:r>
              <w:rPr>
                <w:rFonts w:hint="eastAsia"/>
              </w:rPr>
              <w:t>含三年租赁费用</w:t>
            </w:r>
          </w:p>
        </w:tc>
      </w:tr>
      <w:tr>
        <w:tblPrEx>
          <w:tblCellMar>
            <w:top w:w="0" w:type="dxa"/>
            <w:left w:w="108" w:type="dxa"/>
            <w:bottom w:w="0" w:type="dxa"/>
            <w:right w:w="108" w:type="dxa"/>
          </w:tblCellMar>
        </w:tblPrEx>
        <w:trPr>
          <w:trHeight w:val="312" w:hRule="atLeast"/>
          <w:jc w:val="center"/>
        </w:trPr>
        <w:tc>
          <w:tcPr>
            <w:tcW w:w="8522" w:type="dxa"/>
            <w:gridSpan w:val="3"/>
            <w:vAlign w:val="center"/>
          </w:tcPr>
          <w:p>
            <w:r>
              <w:rPr>
                <w:rFonts w:hint="eastAsia"/>
              </w:rPr>
              <w:t>第四部分：软硬件系统集成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Align w:val="center"/>
          </w:tcPr>
          <w:p>
            <w:r>
              <w:rPr>
                <w:rFonts w:hint="eastAsia"/>
              </w:rPr>
              <w:t>1</w:t>
            </w:r>
          </w:p>
        </w:tc>
        <w:tc>
          <w:tcPr>
            <w:tcW w:w="1406" w:type="dxa"/>
            <w:vAlign w:val="center"/>
          </w:tcPr>
          <w:p>
            <w:r>
              <w:rPr>
                <w:rFonts w:hint="eastAsia"/>
              </w:rPr>
              <w:t>软硬件系统集成</w:t>
            </w:r>
          </w:p>
        </w:tc>
        <w:tc>
          <w:tcPr>
            <w:tcW w:w="6169" w:type="dxa"/>
            <w:vAlign w:val="center"/>
          </w:tcPr>
          <w:p>
            <w:r>
              <w:rPr>
                <w:rFonts w:hint="eastAsia"/>
              </w:rPr>
              <w:t>各系统及系统间需要联调联试的功能性能指标达到设计要求，确保设备及系统的兼容性，保证各系统正常稳定运行。</w:t>
            </w:r>
          </w:p>
        </w:tc>
      </w:tr>
      <w:bookmarkEnd w:id="44"/>
    </w:tbl>
    <w:p>
      <w:pPr>
        <w:rPr>
          <w:b/>
          <w:szCs w:val="21"/>
        </w:rPr>
      </w:pPr>
    </w:p>
    <w:p>
      <w:pPr>
        <w:pStyle w:val="5"/>
        <w:spacing w:before="120" w:beforeLines="50" w:after="120" w:afterLines="50"/>
        <w:rPr>
          <w:sz w:val="28"/>
          <w:szCs w:val="28"/>
        </w:rPr>
      </w:pPr>
      <w:r>
        <w:rPr>
          <w:rFonts w:hint="eastAsia"/>
          <w:sz w:val="28"/>
          <w:szCs w:val="28"/>
        </w:rPr>
        <w:t>五、商务要求</w:t>
      </w:r>
    </w:p>
    <w:p>
      <w:pPr>
        <w:ind w:firstLine="422" w:firstLineChars="200"/>
        <w:rPr>
          <w:b/>
        </w:rPr>
      </w:pPr>
      <w:r>
        <w:rPr>
          <w:rFonts w:hint="eastAsia"/>
          <w:b/>
          <w:szCs w:val="21"/>
        </w:rPr>
        <w:t>说明：</w:t>
      </w:r>
      <w:r>
        <w:rPr>
          <w:b/>
        </w:rPr>
        <w:t>1</w:t>
      </w:r>
      <w:r>
        <w:rPr>
          <w:rFonts w:hint="eastAsia"/>
          <w:b/>
        </w:rPr>
        <w:t>、评分时，如对一项招标商务要求（以划分框为准）中的内容存在两处（或以上）负偏离的，在评分时只作一项负偏离扣分。</w:t>
      </w:r>
    </w:p>
    <w:p>
      <w:pPr>
        <w:ind w:firstLine="422" w:firstLineChars="200"/>
        <w:rPr>
          <w:b/>
          <w:szCs w:val="21"/>
        </w:rPr>
      </w:pPr>
      <w:r>
        <w:rPr>
          <w:b/>
          <w:szCs w:val="21"/>
        </w:rPr>
        <w:t>2</w:t>
      </w:r>
      <w:r>
        <w:rPr>
          <w:rFonts w:hint="eastAsia"/>
          <w:b/>
          <w:szCs w:val="21"/>
        </w:rPr>
        <w:t>、带“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413"/>
        <w:gridCol w:w="6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71" w:type="dxa"/>
            <w:tcBorders>
              <w:top w:val="single" w:color="auto" w:sz="4" w:space="0"/>
              <w:left w:val="single" w:color="auto" w:sz="4" w:space="0"/>
              <w:bottom w:val="single" w:color="auto" w:sz="4" w:space="0"/>
              <w:right w:val="single" w:color="auto" w:sz="4" w:space="0"/>
            </w:tcBorders>
            <w:shd w:val="clear" w:color="auto" w:fill="DCE6F2"/>
            <w:vAlign w:val="center"/>
          </w:tcPr>
          <w:p>
            <w:pPr>
              <w:rPr>
                <w:rFonts w:hint="eastAsia" w:ascii="宋体" w:hAnsi="宋体" w:eastAsia="宋体" w:cs="宋体"/>
                <w:sz w:val="21"/>
                <w:szCs w:val="21"/>
              </w:rPr>
            </w:pPr>
            <w:r>
              <w:rPr>
                <w:rFonts w:hint="eastAsia" w:ascii="宋体" w:hAnsi="宋体" w:eastAsia="宋体" w:cs="宋体"/>
                <w:sz w:val="21"/>
                <w:szCs w:val="21"/>
              </w:rPr>
              <w:t>序号</w:t>
            </w:r>
          </w:p>
        </w:tc>
        <w:tc>
          <w:tcPr>
            <w:tcW w:w="1413" w:type="dxa"/>
            <w:tcBorders>
              <w:top w:val="single" w:color="auto" w:sz="4" w:space="0"/>
              <w:left w:val="single" w:color="auto" w:sz="4" w:space="0"/>
              <w:bottom w:val="single" w:color="auto" w:sz="4" w:space="0"/>
              <w:right w:val="single" w:color="auto" w:sz="4" w:space="0"/>
            </w:tcBorders>
            <w:shd w:val="clear" w:color="auto" w:fill="DCE6F2"/>
            <w:vAlign w:val="center"/>
          </w:tcPr>
          <w:p>
            <w:pPr>
              <w:rPr>
                <w:rFonts w:hint="eastAsia" w:ascii="宋体" w:hAnsi="宋体" w:eastAsia="宋体" w:cs="宋体"/>
                <w:sz w:val="21"/>
                <w:szCs w:val="21"/>
              </w:rPr>
            </w:pPr>
            <w:r>
              <w:rPr>
                <w:rFonts w:hint="eastAsia" w:ascii="宋体" w:hAnsi="宋体" w:eastAsia="宋体" w:cs="宋体"/>
                <w:sz w:val="21"/>
                <w:szCs w:val="21"/>
              </w:rPr>
              <w:t>商务需求项</w:t>
            </w:r>
          </w:p>
        </w:tc>
        <w:tc>
          <w:tcPr>
            <w:tcW w:w="6445" w:type="dxa"/>
            <w:tcBorders>
              <w:top w:val="single" w:color="auto" w:sz="4" w:space="0"/>
              <w:left w:val="single" w:color="auto" w:sz="4" w:space="0"/>
              <w:bottom w:val="single" w:color="auto" w:sz="4" w:space="0"/>
              <w:right w:val="single" w:color="auto" w:sz="4" w:space="0"/>
            </w:tcBorders>
            <w:shd w:val="clear" w:color="auto" w:fill="DCE6F2"/>
            <w:vAlign w:val="center"/>
          </w:tcPr>
          <w:p>
            <w:pPr>
              <w:rPr>
                <w:rFonts w:hint="eastAsia" w:ascii="宋体" w:hAnsi="宋体" w:eastAsia="宋体" w:cs="宋体"/>
                <w:sz w:val="21"/>
                <w:szCs w:val="21"/>
              </w:rPr>
            </w:pPr>
            <w:r>
              <w:rPr>
                <w:rFonts w:hint="eastAsia" w:ascii="宋体" w:hAnsi="宋体" w:eastAsia="宋体" w:cs="宋体"/>
                <w:sz w:val="21"/>
                <w:szCs w:val="21"/>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免费保修期</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★1.1中标人向采购人提供的所有硬件免费提供两年上门保修服务（以本项目产品安装验收合格，双方签字确认之日起计算）。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★1.2保修期内产生的备品备件、易损件、零部件等一切费用均由中标人承担（含需要返原厂修理的所有费用）。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维修响应及故障解决时间</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2.1在保修期内，一旦发生质量问题，投标人保证在接到通知24小时内赶到现场进行修理或更换。在免费保修期内，中标人应向采购人提供免费保修服务，包括但不限于电话咨询服务、现场维修服务，保证故障问题在48小时内解决完毕。中标后，若遇到故障问题不能在规定时间内解决，中标人向采购人提供可替代的解决方法，必要时应当提供同款式产品进行代替使用，直至故障问题解决完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2.2</w:t>
            </w:r>
            <w:r>
              <w:rPr>
                <w:rFonts w:hint="eastAsia" w:ascii="宋体" w:hAnsi="宋体" w:eastAsia="宋体" w:cs="宋体"/>
                <w:spacing w:val="-8"/>
                <w:sz w:val="21"/>
                <w:szCs w:val="21"/>
              </w:rPr>
              <w:t>投标</w:t>
            </w:r>
            <w:r>
              <w:rPr>
                <w:rFonts w:hint="eastAsia" w:ascii="宋体" w:hAnsi="宋体" w:eastAsia="宋体" w:cs="宋体"/>
                <w:sz w:val="21"/>
                <w:szCs w:val="21"/>
              </w:rPr>
              <w:t>人在投标文件中提供</w:t>
            </w:r>
            <w:r>
              <w:rPr>
                <w:rFonts w:hint="eastAsia" w:ascii="宋体" w:hAnsi="宋体" w:eastAsia="宋体" w:cs="宋体"/>
                <w:spacing w:val="-93"/>
                <w:sz w:val="21"/>
                <w:szCs w:val="21"/>
              </w:rPr>
              <w:t xml:space="preserve"> </w:t>
            </w:r>
            <w:r>
              <w:rPr>
                <w:rFonts w:hint="eastAsia" w:ascii="宋体" w:hAnsi="宋体" w:eastAsia="宋体" w:cs="宋体"/>
                <w:sz w:val="21"/>
                <w:szCs w:val="21"/>
              </w:rPr>
              <w:t>售后服务机构名称、人</w:t>
            </w:r>
            <w:r>
              <w:rPr>
                <w:rFonts w:hint="eastAsia" w:ascii="宋体" w:hAnsi="宋体" w:eastAsia="宋体" w:cs="宋体"/>
                <w:spacing w:val="-93"/>
                <w:sz w:val="21"/>
                <w:szCs w:val="21"/>
              </w:rPr>
              <w:t xml:space="preserve"> </w:t>
            </w:r>
            <w:r>
              <w:rPr>
                <w:rFonts w:hint="eastAsia" w:ascii="宋体" w:hAnsi="宋体" w:eastAsia="宋体" w:cs="宋体"/>
                <w:sz w:val="21"/>
                <w:szCs w:val="21"/>
              </w:rPr>
              <w:t>员情况、办公地址、联</w:t>
            </w:r>
            <w:r>
              <w:rPr>
                <w:rFonts w:hint="eastAsia" w:ascii="宋体" w:hAnsi="宋体" w:eastAsia="宋体" w:cs="宋体"/>
                <w:spacing w:val="-93"/>
                <w:sz w:val="21"/>
                <w:szCs w:val="21"/>
              </w:rPr>
              <w:t xml:space="preserve"> </w:t>
            </w:r>
            <w:r>
              <w:rPr>
                <w:rFonts w:hint="eastAsia" w:ascii="宋体" w:hAnsi="宋体" w:eastAsia="宋体" w:cs="宋体"/>
                <w:sz w:val="21"/>
                <w:szCs w:val="21"/>
              </w:rPr>
              <w:t>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违约责任</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3.1中标人不能交货的，采购人依法有权上报主管部门申请终止合同，并按主管部门相关规定处理。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3.2投标人中标后，在生产过程中如果出现弄虚作假，经采购单位警告不改正，采购单位有权上报主管部门按照有关法律法规进行处理。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其他</w:t>
            </w: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4.1根据投标文件中的承诺及合同需求，进行其他售后服务工作。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4.2投标文件中响应各种售后服务并做出承诺，并可提供其它详细的额外优惠条件以及有关承诺。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4.3技术培训：中标人应该对采购方的设备保养人员进行对采购设备的维护保养培训。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14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保修期外售后服务要求</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1"/>
                <w:szCs w:val="21"/>
              </w:rPr>
            </w:pPr>
            <w:r>
              <w:rPr>
                <w:rFonts w:hint="eastAsia" w:ascii="宋体" w:hAnsi="宋体" w:eastAsia="宋体" w:cs="宋体"/>
                <w:sz w:val="21"/>
                <w:szCs w:val="21"/>
              </w:rPr>
              <w:t>5.1在保修期外，一旦发生问题，中标方保证在接到通知 24 小时内赶到现场进行修理或更换。免费保修期外的售后服务要求，内容包括但不限于零配件的优惠率不能高于采购单价、维修响应及故障解决时间、提供的服务等投标方拟定。在原有基础上不乱加价。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6</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产品质量要求标准</w:t>
            </w: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6.1</w:t>
            </w:r>
            <w:r>
              <w:rPr>
                <w:rFonts w:hint="eastAsia" w:ascii="宋体" w:hAnsi="宋体" w:eastAsia="宋体" w:cs="宋体"/>
                <w:bCs/>
                <w:sz w:val="21"/>
                <w:szCs w:val="21"/>
              </w:rPr>
              <w:t>中标人应</w:t>
            </w:r>
            <w:r>
              <w:rPr>
                <w:rFonts w:hint="eastAsia" w:ascii="宋体" w:hAnsi="宋体" w:eastAsia="宋体" w:cs="宋体"/>
                <w:sz w:val="21"/>
                <w:szCs w:val="21"/>
              </w:rPr>
              <w:t>提供的货物是合法厂家生产和经销的原包装产品（包括零配件），具备生产日期、厂名、厂址、产品合格证等。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6.2中标人应保证本项目的产品均是按照国家、地方及行业及招标文件规定的标准进行。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1"/>
                <w:szCs w:val="21"/>
              </w:rPr>
            </w:pPr>
            <w:r>
              <w:rPr>
                <w:rFonts w:hint="eastAsia" w:ascii="宋体" w:hAnsi="宋体" w:eastAsia="宋体" w:cs="宋体"/>
                <w:bCs/>
                <w:sz w:val="21"/>
                <w:szCs w:val="21"/>
              </w:rPr>
              <w:t>6.3采购人</w:t>
            </w:r>
            <w:r>
              <w:rPr>
                <w:rFonts w:hint="eastAsia" w:ascii="宋体" w:hAnsi="宋体" w:eastAsia="宋体" w:cs="宋体"/>
                <w:sz w:val="21"/>
                <w:szCs w:val="21"/>
              </w:rPr>
              <w:t>在中国使用该货物或货物的任何一部分时，免受第三方提出的侵犯其专利权、商标权或工业设计权等知识产权的起诉或司法干预。如果发生上述起诉或干预，则其法律责任均由中标人负责。若因为知识产权纠纷造成的一切损害赔偿及损失由投标人承担，包括但不限于实际损失、预期损失和对方要求赔偿损失及支出的律师费、交通费和差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7</w:t>
            </w:r>
          </w:p>
        </w:tc>
        <w:tc>
          <w:tcPr>
            <w:tcW w:w="14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质量保障措施</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Cs/>
                <w:sz w:val="21"/>
                <w:szCs w:val="21"/>
              </w:rPr>
            </w:pPr>
            <w:r>
              <w:rPr>
                <w:rFonts w:hint="eastAsia" w:ascii="宋体" w:hAnsi="宋体" w:eastAsia="宋体" w:cs="宋体"/>
                <w:sz w:val="21"/>
                <w:szCs w:val="21"/>
              </w:rPr>
              <w:t>7.1投标人提供的货物具有完善的生产管理制度及生产过程质量控制方式，包括原材料进货、生产过程质量检测、成品质量检测等各个环节以及不合品质量控制程序，每个生产工序井然有序进行，严格控制、杜绝劣质产品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8</w:t>
            </w:r>
          </w:p>
        </w:tc>
        <w:tc>
          <w:tcPr>
            <w:tcW w:w="14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运输及包装方式</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bCs/>
                <w:sz w:val="21"/>
                <w:szCs w:val="21"/>
              </w:rPr>
              <w:t>8.1</w:t>
            </w:r>
            <w:r>
              <w:rPr>
                <w:rFonts w:hint="eastAsia" w:ascii="宋体" w:hAnsi="宋体" w:eastAsia="宋体" w:cs="宋体"/>
                <w:sz w:val="21"/>
                <w:szCs w:val="21"/>
              </w:rPr>
              <w:t>包装与运输方式相适应,包装方式的确定及包装费用均由中标方负责：由于不恰当的包装而造成</w:t>
            </w:r>
            <w:bookmarkStart w:id="46" w:name="baidusnap0"/>
            <w:bookmarkEnd w:id="46"/>
            <w:r>
              <w:rPr>
                <w:rFonts w:hint="eastAsia" w:ascii="宋体" w:hAnsi="宋体" w:eastAsia="宋体" w:cs="宋体"/>
                <w:sz w:val="21"/>
                <w:szCs w:val="21"/>
              </w:rPr>
              <w:t>货物在运输过程中有任何损坏，丢失由中标方负责。</w:t>
            </w:r>
          </w:p>
          <w:p>
            <w:pPr>
              <w:rPr>
                <w:rFonts w:hint="eastAsia" w:ascii="宋体" w:hAnsi="宋体" w:eastAsia="宋体" w:cs="宋体"/>
                <w:sz w:val="21"/>
                <w:szCs w:val="21"/>
              </w:rPr>
            </w:pPr>
            <w:r>
              <w:rPr>
                <w:rFonts w:hint="eastAsia" w:ascii="宋体" w:hAnsi="宋体" w:eastAsia="宋体" w:cs="宋体"/>
                <w:sz w:val="21"/>
                <w:szCs w:val="21"/>
              </w:rPr>
              <w:t>8.2包装应足以承受整个过程中的运输,转运,装卸,存储等,充分考虑到运输途中的各种情况(如暴露于恶劣气候等)和深圳地区的气候特点,以及露天、潮湿等恶劣环境存放的需要。</w:t>
            </w:r>
          </w:p>
          <w:p>
            <w:pPr>
              <w:rPr>
                <w:rFonts w:hint="eastAsia" w:ascii="宋体" w:hAnsi="宋体" w:eastAsia="宋体" w:cs="宋体"/>
                <w:sz w:val="21"/>
                <w:szCs w:val="21"/>
              </w:rPr>
            </w:pPr>
            <w:r>
              <w:rPr>
                <w:rFonts w:hint="eastAsia" w:ascii="宋体" w:hAnsi="宋体" w:eastAsia="宋体" w:cs="宋体"/>
                <w:sz w:val="21"/>
                <w:szCs w:val="21"/>
              </w:rPr>
              <w:t>8.3备品备件应分别包装,并在包装箱外加以注明其用处。</w:t>
            </w:r>
          </w:p>
          <w:p>
            <w:pPr>
              <w:rPr>
                <w:rFonts w:hint="eastAsia" w:ascii="宋体" w:hAnsi="宋体" w:eastAsia="宋体" w:cs="宋体"/>
                <w:sz w:val="21"/>
                <w:szCs w:val="21"/>
              </w:rPr>
            </w:pPr>
            <w:r>
              <w:rPr>
                <w:rFonts w:hint="eastAsia" w:ascii="宋体" w:hAnsi="宋体" w:eastAsia="宋体" w:cs="宋体"/>
                <w:sz w:val="21"/>
                <w:szCs w:val="21"/>
              </w:rPr>
              <w:t>8.4包装费,运费已包含在合同价内。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9</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关于供货</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Cs/>
                <w:sz w:val="21"/>
                <w:szCs w:val="21"/>
              </w:rPr>
              <w:t>9.1中标方须将</w:t>
            </w:r>
            <w:r>
              <w:rPr>
                <w:rFonts w:hint="eastAsia" w:ascii="宋体" w:hAnsi="宋体" w:eastAsia="宋体" w:cs="宋体"/>
                <w:sz w:val="21"/>
                <w:szCs w:val="21"/>
              </w:rPr>
              <w:t>产品的附件、备品备件及专用工具随产品一同交付，具体交付时间以合同为准。中标方承担设</w:t>
            </w:r>
            <w:r>
              <w:rPr>
                <w:rFonts w:hint="eastAsia" w:ascii="宋体" w:hAnsi="宋体" w:eastAsia="宋体" w:cs="宋体"/>
                <w:spacing w:val="-2"/>
                <w:sz w:val="21"/>
                <w:szCs w:val="21"/>
              </w:rPr>
              <w:t>备运输，安装、</w:t>
            </w:r>
            <w:r>
              <w:rPr>
                <w:rFonts w:hint="eastAsia" w:ascii="宋体" w:hAnsi="宋体" w:eastAsia="宋体" w:cs="宋体"/>
                <w:spacing w:val="-90"/>
                <w:sz w:val="21"/>
                <w:szCs w:val="21"/>
              </w:rPr>
              <w:t xml:space="preserve"> </w:t>
            </w:r>
            <w:r>
              <w:rPr>
                <w:rFonts w:hint="eastAsia" w:ascii="宋体" w:hAnsi="宋体" w:eastAsia="宋体" w:cs="宋体"/>
                <w:spacing w:val="7"/>
                <w:sz w:val="21"/>
                <w:szCs w:val="21"/>
              </w:rPr>
              <w:t>搬运、调试，验收检测</w:t>
            </w:r>
            <w:r>
              <w:rPr>
                <w:rFonts w:hint="eastAsia" w:ascii="宋体" w:hAnsi="宋体" w:eastAsia="宋体" w:cs="宋体"/>
                <w:sz w:val="21"/>
                <w:szCs w:val="21"/>
              </w:rPr>
              <w:t>和提供设备操作说明</w:t>
            </w:r>
            <w:r>
              <w:rPr>
                <w:rFonts w:hint="eastAsia" w:ascii="宋体" w:hAnsi="宋体" w:eastAsia="宋体" w:cs="宋体"/>
                <w:spacing w:val="7"/>
                <w:sz w:val="21"/>
                <w:szCs w:val="21"/>
              </w:rPr>
              <w:t xml:space="preserve">书、图纸等其他类似的义务。中标单位根据采购单位的地点、时间、装修进度等其他要求进行分批交货验收。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★9.2交货（具体）地点：采购人指定地点。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9.3中标人应委派技术人员进行现场开箱、安装、调试，并提供货物安装调试的一切技术支持。安装调试的具体时间由采购人提前3天通知中标人，即在约定时间安装指定安装地点。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9.4交货到采购人指定地点后，采购人及中标人双方派员进行开箱清点设备，清点无误后，采购人签收收货报告。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trPr>
        <w:tc>
          <w:tcPr>
            <w:tcW w:w="671" w:type="dxa"/>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10</w:t>
            </w:r>
          </w:p>
        </w:tc>
        <w:tc>
          <w:tcPr>
            <w:tcW w:w="1413" w:type="dxa"/>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关于验收</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★10.1采购人验收前应提前通知中标人，验收内容包括但不限于产品数量、外观、质量、性能、随机备件、装箱单、产品合格证等随机资料及包装完整无破损。</w:t>
            </w:r>
          </w:p>
          <w:p>
            <w:pPr>
              <w:rPr>
                <w:rFonts w:hint="eastAsia" w:ascii="宋体" w:hAnsi="宋体" w:eastAsia="宋体" w:cs="宋体"/>
                <w:sz w:val="21"/>
                <w:szCs w:val="21"/>
              </w:rPr>
            </w:pPr>
            <w:r>
              <w:rPr>
                <w:rFonts w:hint="eastAsia" w:ascii="宋体" w:hAnsi="宋体" w:eastAsia="宋体" w:cs="宋体"/>
                <w:sz w:val="21"/>
                <w:szCs w:val="21"/>
              </w:rPr>
              <w:t>10.2验收过程中，采购人有权委托监理单位随机抽取清单内产品送至第三方质量检测机构进行检测，若不满足国家相关标准，则有权拒绝收货，并要求中标人进行整改。</w:t>
            </w:r>
          </w:p>
          <w:p>
            <w:pPr>
              <w:rPr>
                <w:rFonts w:hint="eastAsia" w:ascii="宋体" w:hAnsi="宋体" w:eastAsia="宋体" w:cs="宋体"/>
                <w:bCs/>
                <w:sz w:val="21"/>
                <w:szCs w:val="21"/>
              </w:rPr>
            </w:pPr>
            <w:r>
              <w:rPr>
                <w:rFonts w:hint="eastAsia" w:ascii="宋体" w:hAnsi="宋体" w:eastAsia="宋体" w:cs="宋体"/>
                <w:bCs/>
                <w:sz w:val="21"/>
                <w:szCs w:val="21"/>
              </w:rPr>
              <w:t>10.3投标人货物经过双方检验认可后，签署验收报告，产品保修期自验收合格之日起算。</w:t>
            </w:r>
            <w:r>
              <w:rPr>
                <w:rFonts w:hint="eastAsia" w:ascii="宋体" w:hAnsi="宋体" w:eastAsia="宋体" w:cs="宋体"/>
                <w:sz w:val="21"/>
                <w:szCs w:val="21"/>
              </w:rPr>
              <w:t>采购人组织成验收小组对采购项目进行验收。采购人有权委托监理机构以及其他第三评审方参加验收。</w:t>
            </w:r>
          </w:p>
          <w:p>
            <w:pPr>
              <w:rPr>
                <w:rFonts w:hint="eastAsia" w:ascii="宋体" w:hAnsi="宋体" w:eastAsia="宋体" w:cs="宋体"/>
                <w:b/>
                <w:sz w:val="21"/>
                <w:szCs w:val="21"/>
              </w:rPr>
            </w:pPr>
            <w:r>
              <w:rPr>
                <w:rFonts w:hint="eastAsia" w:ascii="宋体" w:hAnsi="宋体" w:eastAsia="宋体" w:cs="宋体"/>
                <w:bCs/>
                <w:sz w:val="21"/>
                <w:szCs w:val="21"/>
              </w:rPr>
              <w:t>10.4</w:t>
            </w:r>
            <w:r>
              <w:rPr>
                <w:rFonts w:hint="eastAsia" w:ascii="宋体" w:hAnsi="宋体" w:eastAsia="宋体" w:cs="宋体"/>
                <w:sz w:val="21"/>
                <w:szCs w:val="21"/>
              </w:rPr>
              <w:t>验收中如发现有质量不合格或型号规格、数量等与送货清单不符等情况，中标人应免费更换或补齐。若中标人不予更换或补齐，采购人有权要求中标人全额退还已付货款。</w:t>
            </w:r>
          </w:p>
          <w:p>
            <w:pPr>
              <w:rPr>
                <w:rFonts w:hint="eastAsia" w:ascii="宋体" w:hAnsi="宋体" w:eastAsia="宋体" w:cs="宋体"/>
                <w:sz w:val="21"/>
                <w:szCs w:val="21"/>
              </w:rPr>
            </w:pPr>
            <w:r>
              <w:rPr>
                <w:rFonts w:hint="eastAsia" w:ascii="宋体" w:hAnsi="宋体" w:eastAsia="宋体" w:cs="宋体"/>
                <w:sz w:val="21"/>
                <w:szCs w:val="21"/>
              </w:rPr>
              <w:t>10.5针对招标文件中核心产品的验收：设备到达现场后，中标单位、用户共同进行开箱验收，对设备的数量、品质进行逐项检查，且须同时提供原厂正规渠道的供货证明文件（厂家出货证明）。中标单位所供设备如有不符合招标文件要求或明显损坏的，用户有权向中标人提出索赔并要求更换，对于开箱即有故障的设备，中标人须在2天内完成调换。原厂供货证明和设备签收单作为用户验收和付款的必须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11</w:t>
            </w:r>
          </w:p>
        </w:tc>
        <w:tc>
          <w:tcPr>
            <w:tcW w:w="14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付款方式</w:t>
            </w:r>
          </w:p>
        </w:tc>
        <w:tc>
          <w:tcPr>
            <w:tcW w:w="64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Cs/>
                <w:sz w:val="21"/>
                <w:szCs w:val="21"/>
              </w:rPr>
            </w:pPr>
            <w:r>
              <w:rPr>
                <w:rFonts w:hint="eastAsia" w:ascii="宋体" w:hAnsi="宋体" w:eastAsia="宋体" w:cs="宋体"/>
                <w:sz w:val="21"/>
                <w:szCs w:val="21"/>
              </w:rPr>
              <w:t>11.1合同签订后付40%；按采购人要求送货安装完毕后支付至合同总价的80%，验收合格后支付到95%；剩余合同总价的5%待审计决算通过后支付。注：因甲方使用的是财政资金，合同最终金额和付款时间，以财政实际下达金额及资金拨付进度为准，因财政审批、资金未拨付到位等原因导致的付款迟延不视为甲方违约，但不能规避甲方付款义务直至上述款项到达乙方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sz w:val="21"/>
                <w:szCs w:val="21"/>
              </w:rPr>
            </w:pPr>
            <w:r>
              <w:rPr>
                <w:rFonts w:hint="eastAsia" w:ascii="宋体" w:hAnsi="宋体" w:eastAsia="宋体" w:cs="宋体"/>
                <w:sz w:val="21"/>
                <w:szCs w:val="21"/>
              </w:rPr>
              <w:t>12</w:t>
            </w:r>
          </w:p>
        </w:tc>
        <w:tc>
          <w:tcPr>
            <w:tcW w:w="14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报价要求</w:t>
            </w: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12.1投标人应报货物交付指定地点（包括安装至指定位置）。</w:t>
            </w:r>
          </w:p>
          <w:p>
            <w:pPr>
              <w:rPr>
                <w:rFonts w:hint="eastAsia" w:ascii="宋体" w:hAnsi="宋体" w:eastAsia="宋体" w:cs="宋体"/>
                <w:sz w:val="21"/>
                <w:szCs w:val="21"/>
              </w:rPr>
            </w:pPr>
            <w:r>
              <w:rPr>
                <w:rFonts w:hint="eastAsia" w:ascii="宋体" w:hAnsi="宋体" w:eastAsia="宋体" w:cs="宋体"/>
                <w:sz w:val="21"/>
                <w:szCs w:val="21"/>
              </w:rPr>
              <w:t>12.2投标人应按货物需求的要求逐项报价。投标人提供的所有报价包括但不限于税费、货物运至项目所在地货物安装指定地点的如运输费、保险费、叉车费和装卸费；配套资料费、安装调试费、服务培训费以及免费保修期内的售后服务费用等。投标总价应为各分项合计价格之和。与总项目相关的上述安装调试等费用分摊计入各分项，不得以单项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13</w:t>
            </w:r>
          </w:p>
        </w:tc>
        <w:tc>
          <w:tcPr>
            <w:tcW w:w="14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实施团队人员安排</w:t>
            </w:r>
          </w:p>
        </w:tc>
        <w:tc>
          <w:tcPr>
            <w:tcW w:w="6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投标人投入本项目的规模不少于20人，其中保修期驻点服务不少于2人</w:t>
            </w:r>
          </w:p>
        </w:tc>
      </w:tr>
    </w:tbl>
    <w:p>
      <w:pPr>
        <w:pStyle w:val="7"/>
        <w:spacing w:before="60" w:beforeLines="25" w:after="60" w:afterLines="25"/>
        <w:ind w:firstLine="392" w:firstLineChars="187"/>
        <w:rPr>
          <w:rFonts w:ascii="宋体" w:hAnsi="宋体"/>
          <w:szCs w:val="21"/>
        </w:rPr>
      </w:pPr>
    </w:p>
    <w:p>
      <w:pPr>
        <w:pStyle w:val="5"/>
        <w:spacing w:before="120" w:beforeLines="50" w:after="120" w:afterLines="50"/>
        <w:rPr>
          <w:sz w:val="28"/>
          <w:szCs w:val="28"/>
        </w:rPr>
      </w:pPr>
      <w:r>
        <w:rPr>
          <w:rFonts w:hint="eastAsia"/>
          <w:sz w:val="28"/>
          <w:szCs w:val="28"/>
        </w:rPr>
        <w:t>六、其他重要条款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7"/>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szCs w:val="20"/>
        </w:rPr>
      </w:pPr>
      <w:r>
        <w:rPr>
          <w:bCs/>
          <w:szCs w:val="21"/>
        </w:rPr>
        <w:t>5</w:t>
      </w:r>
      <w:r>
        <w:rPr>
          <w:rFonts w:hint="eastAsia"/>
          <w:bCs/>
          <w:szCs w:val="21"/>
        </w:rPr>
        <w:t>、除政府采购合同继续履行将损害国家利益和社会公共利益外，双方当事人不得擅自变更、中止或者终止合同。</w:t>
      </w:r>
      <w:r>
        <w:br w:type="page"/>
      </w:r>
    </w:p>
    <w:p>
      <w:pPr>
        <w:pStyle w:val="5"/>
        <w:rPr>
          <w:kern w:val="2"/>
        </w:rPr>
      </w:pPr>
      <w:bookmarkStart w:id="47" w:name="_Hlk86246764"/>
      <w:r>
        <w:rPr>
          <w:rFonts w:hint="eastAsia"/>
          <w:kern w:val="2"/>
        </w:rPr>
        <w:t>第四章 投标文件组成要求及格式</w:t>
      </w:r>
    </w:p>
    <w:p>
      <w:pPr>
        <w:rPr>
          <w:rStyle w:val="66"/>
          <w:sz w:val="24"/>
        </w:rPr>
      </w:pPr>
      <w:r>
        <w:rPr>
          <w:rStyle w:val="66"/>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投标文件正文（信息公开部分）必须编制于“投标书目录”部分，投标文件附件（非信息公开部分）必须编制于“投标书附件”部分，如下图所示。</w:t>
      </w:r>
    </w:p>
    <w:p>
      <w:pPr>
        <w:widowControl/>
        <w:jc w:val="left"/>
        <w:rPr>
          <w:rFonts w:ascii="宋体" w:hAnsi="宋体" w:cs="宋体"/>
          <w:kern w:val="0"/>
          <w:sz w:val="24"/>
        </w:rPr>
      </w:pPr>
      <w:r>
        <w:rPr>
          <w:rFonts w:ascii="仿宋_GB2312" w:eastAsia="仿宋_GB2312"/>
          <w:sz w:val="24"/>
        </w:rPr>
        <w:drawing>
          <wp:inline distT="0" distB="0" distL="0" distR="0">
            <wp:extent cx="5278755" cy="4126230"/>
            <wp:effectExtent l="0" t="0" r="0" b="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8755" cy="4126230"/>
                    </a:xfrm>
                    <a:prstGeom prst="rect">
                      <a:avLst/>
                    </a:prstGeom>
                    <a:noFill/>
                    <a:ln>
                      <a:noFill/>
                    </a:ln>
                  </pic:spPr>
                </pic:pic>
              </a:graphicData>
            </a:graphic>
          </wp:inline>
        </w:drawing>
      </w:r>
    </w:p>
    <w:p>
      <w:pPr>
        <w:rPr>
          <w:rFonts w:ascii="仿宋_GB2312" w:eastAsia="仿宋_GB2312"/>
          <w:sz w:val="24"/>
        </w:rPr>
      </w:pPr>
    </w:p>
    <w:p>
      <w:pPr>
        <w:jc w:val="center"/>
        <w:rPr>
          <w:rFonts w:ascii="仿宋_GB2312" w:eastAsia="仿宋_GB2312"/>
          <w:sz w:val="24"/>
        </w:rPr>
      </w:pPr>
    </w:p>
    <w:p>
      <w:pPr>
        <w:ind w:firstLine="480" w:firstLineChars="200"/>
        <w:rPr>
          <w:rFonts w:ascii="仿宋_GB2312" w:eastAsia="仿宋_GB2312"/>
          <w:sz w:val="24"/>
        </w:rPr>
      </w:pPr>
      <w:bookmarkStart w:id="48" w:name="_Hlk72257167"/>
      <w:r>
        <w:rPr>
          <w:rFonts w:hint="eastAsia" w:ascii="仿宋_GB2312" w:eastAsia="仿宋_GB2312"/>
          <w:sz w:val="24"/>
        </w:rPr>
        <w:t>政府集中采购机构公布投标文件正文（信息公开部分）时为计算机截取信息自动公布，</w:t>
      </w:r>
      <w:r>
        <w:rPr>
          <w:rFonts w:hint="eastAsia" w:ascii="仿宋_GB2312" w:eastAsia="仿宋_GB2312"/>
          <w:b/>
          <w:bCs/>
          <w:sz w:val="24"/>
        </w:rPr>
        <w:t>如投标人误将涉及个人隐私的信息放入投标文件正文，相关后果由投标人自负；</w:t>
      </w:r>
      <w:r>
        <w:rPr>
          <w:rFonts w:hint="eastAsia" w:ascii="仿宋_GB2312" w:eastAsia="仿宋_GB2312"/>
          <w:sz w:val="24"/>
        </w:rPr>
        <w:t>如投标人将必须放于投标文件正文（信息公开部分）的内容放入投标文件附件（非信息公开部分），将作投标无效处理。</w:t>
      </w:r>
    </w:p>
    <w:bookmarkEnd w:id="47"/>
    <w:bookmarkEnd w:id="48"/>
    <w:p>
      <w:pPr>
        <w:widowControl/>
        <w:jc w:val="left"/>
        <w:rPr>
          <w:rFonts w:ascii="仿宋_GB2312" w:eastAsia="仿宋_GB2312"/>
          <w:sz w:val="24"/>
        </w:rPr>
      </w:pPr>
      <w:r>
        <w:rPr>
          <w:rFonts w:ascii="仿宋_GB2312" w:eastAsia="仿宋_GB2312"/>
          <w:sz w:val="24"/>
        </w:rPr>
        <w:br w:type="page"/>
      </w:r>
    </w:p>
    <w:p>
      <w:pPr>
        <w:outlineLvl w:val="0"/>
        <w:rPr>
          <w:rStyle w:val="66"/>
          <w:sz w:val="28"/>
          <w:szCs w:val="28"/>
        </w:rPr>
      </w:pPr>
      <w:r>
        <w:rPr>
          <w:rStyle w:val="66"/>
          <w:rFonts w:hint="eastAsia"/>
          <w:sz w:val="28"/>
          <w:szCs w:val="28"/>
        </w:rPr>
        <w:t>投标文件组成：</w:t>
      </w:r>
    </w:p>
    <w:p>
      <w:pPr>
        <w:ind w:firstLine="1200" w:firstLineChars="500"/>
        <w:outlineLvl w:val="0"/>
        <w:rPr>
          <w:rFonts w:ascii="宋体" w:hAnsi="宋体"/>
          <w:sz w:val="24"/>
        </w:rPr>
      </w:pPr>
      <w:bookmarkStart w:id="49" w:name="_Hlk72257253"/>
      <w:r>
        <w:rPr>
          <w:rFonts w:hint="eastAsia" w:ascii="宋体" w:hAnsi="宋体"/>
          <w:sz w:val="24"/>
        </w:rPr>
        <w:t>1.投标文件正文</w:t>
      </w:r>
      <w:r>
        <w:rPr>
          <w:rFonts w:hint="eastAsia" w:ascii="宋体" w:hAnsi="宋体"/>
          <w:b/>
          <w:color w:val="FF0000"/>
          <w:sz w:val="24"/>
        </w:rPr>
        <w:t>（信息公开部分）</w:t>
      </w:r>
      <w:r>
        <w:rPr>
          <w:rFonts w:hint="eastAsia" w:ascii="宋体" w:hAnsi="宋体"/>
          <w:sz w:val="24"/>
        </w:rPr>
        <w:t>，主要包括以下内容：</w:t>
      </w:r>
    </w:p>
    <w:p>
      <w:pPr>
        <w:ind w:left="718" w:leftChars="342" w:firstLine="1417" w:firstLineChars="675"/>
        <w:rPr>
          <w:szCs w:val="21"/>
        </w:rPr>
      </w:pPr>
      <w:r>
        <w:rPr>
          <w:rFonts w:hint="eastAsia"/>
          <w:szCs w:val="21"/>
        </w:rPr>
        <w:t>（1）</w:t>
      </w:r>
      <w:bookmarkStart w:id="50" w:name="_Hlk72070784"/>
      <w:r>
        <w:rPr>
          <w:rFonts w:hint="eastAsia"/>
          <w:szCs w:val="21"/>
        </w:rPr>
        <w:t>投标函</w:t>
      </w:r>
      <w:bookmarkEnd w:id="50"/>
    </w:p>
    <w:p>
      <w:pPr>
        <w:ind w:left="718" w:leftChars="342" w:firstLine="1417" w:firstLineChars="675"/>
        <w:rPr>
          <w:szCs w:val="21"/>
        </w:rPr>
      </w:pPr>
      <w:r>
        <w:rPr>
          <w:rFonts w:hint="eastAsia"/>
          <w:szCs w:val="21"/>
        </w:rPr>
        <w:t>（2）</w:t>
      </w:r>
      <w:bookmarkStart w:id="51" w:name="_Hlk72062521"/>
      <w:r>
        <w:rPr>
          <w:rFonts w:hint="eastAsia"/>
          <w:szCs w:val="21"/>
        </w:rPr>
        <w:t>政府采购投标及履约承诺函</w:t>
      </w:r>
      <w:bookmarkEnd w:id="51"/>
    </w:p>
    <w:p>
      <w:pPr>
        <w:ind w:left="718" w:leftChars="342" w:firstLine="1417" w:firstLineChars="675"/>
        <w:rPr>
          <w:szCs w:val="21"/>
        </w:rPr>
      </w:pPr>
      <w:r>
        <w:rPr>
          <w:rFonts w:hint="eastAsia"/>
          <w:szCs w:val="21"/>
        </w:rPr>
        <w:t>（</w:t>
      </w:r>
      <w:r>
        <w:rPr>
          <w:szCs w:val="21"/>
        </w:rPr>
        <w:t>3</w:t>
      </w:r>
      <w:r>
        <w:rPr>
          <w:rFonts w:hint="eastAsia"/>
          <w:szCs w:val="21"/>
        </w:rPr>
        <w:t>）投标人情况及资格证明文件</w:t>
      </w:r>
    </w:p>
    <w:p>
      <w:pPr>
        <w:ind w:left="718" w:leftChars="342" w:firstLine="1417" w:firstLineChars="675"/>
        <w:rPr>
          <w:szCs w:val="21"/>
        </w:rPr>
      </w:pPr>
      <w:bookmarkStart w:id="52" w:name="_Hlk72257201"/>
      <w:r>
        <w:rPr>
          <w:rFonts w:hint="eastAsia"/>
          <w:szCs w:val="21"/>
        </w:rPr>
        <w:t>（</w:t>
      </w:r>
      <w:r>
        <w:rPr>
          <w:szCs w:val="21"/>
        </w:rPr>
        <w:t>4</w:t>
      </w:r>
      <w:r>
        <w:rPr>
          <w:rFonts w:hint="eastAsia"/>
          <w:szCs w:val="21"/>
        </w:rPr>
        <w:t>）项目详细报价</w:t>
      </w:r>
    </w:p>
    <w:p>
      <w:pPr>
        <w:ind w:left="718" w:leftChars="342" w:firstLine="1417" w:firstLineChars="675"/>
        <w:rPr>
          <w:rFonts w:hint="eastAsia" w:eastAsia="宋体"/>
          <w:szCs w:val="21"/>
          <w:lang w:eastAsia="zh-CN"/>
        </w:rPr>
      </w:pPr>
      <w:r>
        <w:rPr>
          <w:rFonts w:hint="eastAsia"/>
          <w:szCs w:val="21"/>
        </w:rPr>
        <w:t>（5）</w:t>
      </w:r>
      <w:r>
        <w:rPr>
          <w:rFonts w:hint="eastAsia"/>
          <w:szCs w:val="21"/>
          <w:lang w:eastAsia="zh-CN"/>
        </w:rPr>
        <w:t>供应商认证情况</w:t>
      </w:r>
    </w:p>
    <w:p>
      <w:pPr>
        <w:ind w:left="718" w:leftChars="342" w:firstLine="1417" w:firstLineChars="675"/>
        <w:rPr>
          <w:szCs w:val="21"/>
        </w:rPr>
      </w:pPr>
      <w:r>
        <w:rPr>
          <w:rFonts w:hint="eastAsia"/>
          <w:szCs w:val="21"/>
        </w:rPr>
        <w:t>（6）奖项</w:t>
      </w:r>
    </w:p>
    <w:p>
      <w:pPr>
        <w:ind w:left="718" w:leftChars="342" w:firstLine="1417" w:firstLineChars="675"/>
        <w:jc w:val="left"/>
      </w:pPr>
      <w:r>
        <w:rPr>
          <w:rFonts w:hint="eastAsia"/>
          <w:szCs w:val="21"/>
        </w:rPr>
        <w:t>（7）</w:t>
      </w:r>
      <w:r>
        <w:rPr>
          <w:rFonts w:hint="eastAsia"/>
          <w:szCs w:val="21"/>
          <w:lang w:eastAsia="zh-CN"/>
        </w:rPr>
        <w:t>供应商同类业绩</w:t>
      </w:r>
    </w:p>
    <w:p>
      <w:pPr>
        <w:ind w:left="718" w:leftChars="342" w:firstLine="1417" w:firstLineChars="675"/>
        <w:jc w:val="left"/>
      </w:pPr>
      <w:r>
        <w:rPr>
          <w:rFonts w:hint="eastAsia"/>
        </w:rPr>
        <w:t>（8）服务网点</w:t>
      </w:r>
    </w:p>
    <w:p>
      <w:pPr>
        <w:ind w:left="718" w:leftChars="342" w:firstLine="1417" w:firstLineChars="675"/>
        <w:rPr>
          <w:szCs w:val="21"/>
        </w:rPr>
      </w:pPr>
    </w:p>
    <w:bookmarkEnd w:id="52"/>
    <w:p>
      <w:pPr>
        <w:ind w:firstLine="1200" w:firstLineChars="500"/>
        <w:outlineLvl w:val="0"/>
        <w:rPr>
          <w:rFonts w:ascii="宋体" w:hAnsi="宋体"/>
          <w:sz w:val="24"/>
        </w:rPr>
      </w:pPr>
      <w:r>
        <w:rPr>
          <w:rFonts w:hint="eastAsia" w:ascii="宋体" w:hAnsi="宋体"/>
          <w:sz w:val="24"/>
        </w:rPr>
        <w:t>2.投标文件附件</w:t>
      </w:r>
      <w:r>
        <w:rPr>
          <w:rFonts w:hint="eastAsia" w:ascii="宋体" w:hAnsi="宋体"/>
          <w:b/>
          <w:color w:val="FF0000"/>
          <w:sz w:val="24"/>
        </w:rPr>
        <w:t>（信息不公开部分）</w:t>
      </w:r>
      <w:r>
        <w:rPr>
          <w:rFonts w:hint="eastAsia" w:ascii="宋体" w:hAnsi="宋体"/>
          <w:sz w:val="24"/>
        </w:rPr>
        <w:t>：主要包括以下内容：</w:t>
      </w:r>
    </w:p>
    <w:p>
      <w:pPr>
        <w:ind w:firstLine="2100" w:firstLineChars="1000"/>
        <w:rPr>
          <w:szCs w:val="21"/>
        </w:rPr>
      </w:pPr>
      <w:r>
        <w:rPr>
          <w:rFonts w:hint="eastAsia"/>
          <w:szCs w:val="21"/>
        </w:rPr>
        <w:t>（1）法定代表人（负责人）证明书</w:t>
      </w:r>
    </w:p>
    <w:p>
      <w:pPr>
        <w:ind w:left="718" w:leftChars="342" w:firstLine="1417" w:firstLineChars="675"/>
        <w:rPr>
          <w:szCs w:val="21"/>
        </w:rPr>
      </w:pPr>
      <w:r>
        <w:rPr>
          <w:rFonts w:hint="eastAsia"/>
          <w:szCs w:val="21"/>
        </w:rPr>
        <w:t>（2）投标文件签署授权委托书</w:t>
      </w:r>
    </w:p>
    <w:p>
      <w:pPr>
        <w:ind w:left="718" w:leftChars="342" w:firstLine="1417" w:firstLineChars="675"/>
        <w:rPr>
          <w:szCs w:val="21"/>
        </w:rPr>
      </w:pPr>
      <w:r>
        <w:rPr>
          <w:rFonts w:hint="eastAsia"/>
          <w:szCs w:val="21"/>
        </w:rPr>
        <w:t>（3）实质性条款响应情况表</w:t>
      </w:r>
    </w:p>
    <w:p>
      <w:pPr>
        <w:ind w:left="718" w:leftChars="342" w:firstLine="1417" w:firstLineChars="675"/>
        <w:rPr>
          <w:szCs w:val="21"/>
        </w:rPr>
      </w:pPr>
      <w:r>
        <w:rPr>
          <w:rFonts w:hint="eastAsia"/>
          <w:szCs w:val="21"/>
        </w:rPr>
        <w:t>（</w:t>
      </w:r>
      <w:r>
        <w:rPr>
          <w:szCs w:val="21"/>
        </w:rPr>
        <w:t>4</w:t>
      </w:r>
      <w:r>
        <w:rPr>
          <w:rFonts w:hint="eastAsia"/>
          <w:szCs w:val="21"/>
        </w:rPr>
        <w:t>）技术要求偏离表</w:t>
      </w:r>
    </w:p>
    <w:p>
      <w:pPr>
        <w:ind w:left="718" w:leftChars="342" w:firstLine="1417" w:firstLineChars="675"/>
        <w:rPr>
          <w:szCs w:val="21"/>
        </w:rPr>
      </w:pPr>
      <w:r>
        <w:rPr>
          <w:rFonts w:hint="eastAsia"/>
          <w:szCs w:val="21"/>
        </w:rPr>
        <w:t>（</w:t>
      </w:r>
      <w:r>
        <w:rPr>
          <w:szCs w:val="21"/>
        </w:rPr>
        <w:t>5</w:t>
      </w:r>
      <w:r>
        <w:rPr>
          <w:rFonts w:hint="eastAsia"/>
          <w:szCs w:val="21"/>
        </w:rPr>
        <w:t>）商务要求偏离表</w:t>
      </w:r>
    </w:p>
    <w:p>
      <w:pPr>
        <w:ind w:left="718" w:leftChars="342" w:firstLine="1417" w:firstLineChars="675"/>
        <w:rPr>
          <w:szCs w:val="21"/>
        </w:rPr>
      </w:pPr>
      <w:r>
        <w:rPr>
          <w:rFonts w:hint="eastAsia"/>
          <w:szCs w:val="21"/>
        </w:rPr>
        <w:t>（</w:t>
      </w:r>
      <w:r>
        <w:rPr>
          <w:szCs w:val="21"/>
        </w:rPr>
        <w:t>6</w:t>
      </w:r>
      <w:r>
        <w:rPr>
          <w:rFonts w:hint="eastAsia"/>
          <w:szCs w:val="21"/>
        </w:rPr>
        <w:t>）</w:t>
      </w:r>
      <w:bookmarkEnd w:id="49"/>
      <w:r>
        <w:rPr>
          <w:rFonts w:hint="eastAsia"/>
        </w:rPr>
        <w:t>项目重点难点分析、应对措施及相关的合理化建议</w:t>
      </w:r>
    </w:p>
    <w:p>
      <w:pPr>
        <w:ind w:left="718" w:leftChars="342" w:firstLine="1417" w:firstLineChars="675"/>
        <w:rPr>
          <w:szCs w:val="21"/>
        </w:rPr>
      </w:pPr>
      <w:r>
        <w:rPr>
          <w:rFonts w:hint="eastAsia"/>
          <w:szCs w:val="21"/>
        </w:rPr>
        <w:t>（7）</w:t>
      </w:r>
      <w:r>
        <w:rPr>
          <w:rFonts w:hint="eastAsia"/>
        </w:rPr>
        <w:t>实施方案</w:t>
      </w:r>
    </w:p>
    <w:p>
      <w:pPr>
        <w:ind w:left="718" w:leftChars="342" w:firstLine="1417" w:firstLineChars="675"/>
        <w:rPr>
          <w:szCs w:val="21"/>
        </w:rPr>
      </w:pPr>
      <w:r>
        <w:rPr>
          <w:rFonts w:hint="eastAsia"/>
          <w:szCs w:val="21"/>
        </w:rPr>
        <w:t>（8）</w:t>
      </w:r>
      <w:r>
        <w:rPr>
          <w:rFonts w:hint="eastAsia"/>
        </w:rPr>
        <w:t>售后服务方案</w:t>
      </w:r>
    </w:p>
    <w:p>
      <w:pPr>
        <w:ind w:left="718" w:leftChars="342" w:firstLine="1417" w:firstLineChars="675"/>
        <w:rPr>
          <w:rFonts w:hint="eastAsia"/>
        </w:rPr>
      </w:pPr>
      <w:r>
        <w:rPr>
          <w:rFonts w:hint="eastAsia"/>
          <w:szCs w:val="21"/>
        </w:rPr>
        <w:t>（9）</w:t>
      </w:r>
      <w:r>
        <w:rPr>
          <w:rFonts w:hint="eastAsia"/>
        </w:rPr>
        <w:t>拟安排的项目负责人情况(仅限一人)</w:t>
      </w:r>
    </w:p>
    <w:p>
      <w:pPr>
        <w:ind w:left="718" w:leftChars="342" w:firstLine="1417" w:firstLineChars="675"/>
        <w:rPr>
          <w:rFonts w:hint="eastAsia"/>
          <w:szCs w:val="21"/>
        </w:rPr>
      </w:pPr>
      <w:r>
        <w:rPr>
          <w:rFonts w:hint="eastAsia"/>
          <w:lang w:eastAsia="zh-CN"/>
        </w:rPr>
        <w:t>（</w:t>
      </w:r>
      <w:r>
        <w:rPr>
          <w:rFonts w:hint="eastAsia"/>
          <w:lang w:val="en-US" w:eastAsia="zh-CN"/>
        </w:rPr>
        <w:t>10</w:t>
      </w:r>
      <w:r>
        <w:rPr>
          <w:rFonts w:hint="eastAsia"/>
          <w:lang w:eastAsia="zh-CN"/>
        </w:rPr>
        <w:t>）</w:t>
      </w:r>
      <w:r>
        <w:rPr>
          <w:rFonts w:hint="eastAsia"/>
        </w:rPr>
        <w:t>拟安排的项目主要管理团队成员(含主要技术人员)情况(项目负责人除外)</w:t>
      </w:r>
    </w:p>
    <w:p>
      <w:pPr>
        <w:ind w:left="718" w:leftChars="342" w:firstLine="1417" w:firstLineChars="675"/>
        <w:rPr>
          <w:szCs w:val="21"/>
        </w:rPr>
      </w:pPr>
      <w:r>
        <w:rPr>
          <w:rFonts w:hint="eastAsia"/>
          <w:szCs w:val="21"/>
          <w:lang w:eastAsia="zh-CN"/>
        </w:rPr>
        <w:t>（</w:t>
      </w:r>
      <w:r>
        <w:rPr>
          <w:rFonts w:hint="eastAsia"/>
          <w:szCs w:val="21"/>
          <w:lang w:val="en-US" w:eastAsia="zh-CN"/>
        </w:rPr>
        <w:t>11</w:t>
      </w:r>
      <w:r>
        <w:rPr>
          <w:rFonts w:hint="eastAsia"/>
          <w:szCs w:val="21"/>
          <w:lang w:eastAsia="zh-CN"/>
        </w:rPr>
        <w:t>）</w:t>
      </w:r>
      <w:r>
        <w:rPr>
          <w:rFonts w:hint="eastAsia"/>
          <w:szCs w:val="21"/>
        </w:rPr>
        <w:t>投标人认为需要加以说明的其他内容（格式自定）</w:t>
      </w:r>
    </w:p>
    <w:p>
      <w:pPr>
        <w:ind w:firstLine="426" w:firstLineChars="202"/>
        <w:rPr>
          <w:rFonts w:ascii="宋体" w:hAnsi="宋体"/>
          <w:b/>
          <w:szCs w:val="21"/>
        </w:rPr>
      </w:pPr>
      <w:bookmarkStart w:id="53" w:name="_Hlk72257771"/>
      <w:r>
        <w:rPr>
          <w:rFonts w:hint="eastAsia" w:ascii="宋体" w:hAnsi="宋体"/>
          <w:b/>
          <w:szCs w:val="21"/>
        </w:rPr>
        <w:t>备注：</w:t>
      </w:r>
    </w:p>
    <w:p>
      <w:pPr>
        <w:ind w:firstLine="426" w:firstLineChars="202"/>
        <w:rPr>
          <w:rFonts w:ascii="宋体" w:hAnsi="宋体"/>
          <w:b/>
          <w:szCs w:val="21"/>
        </w:rPr>
      </w:pPr>
      <w:r>
        <w:rPr>
          <w:rFonts w:hint="eastAsia" w:ascii="宋体" w:hAnsi="宋体"/>
          <w:b/>
          <w:szCs w:val="21"/>
        </w:rPr>
        <w:t>1.本项目为网上电子投标项目，投标文件不需法人或授权委托人另行签字，无需加盖单位公章，招标文件专用条款另有规定的除外。</w:t>
      </w:r>
    </w:p>
    <w:p>
      <w:pPr>
        <w:ind w:firstLine="422" w:firstLineChars="200"/>
        <w:rPr>
          <w:rFonts w:ascii="宋体" w:hAnsi="宋体"/>
          <w:color w:val="FF0000"/>
          <w:sz w:val="24"/>
        </w:rPr>
      </w:pPr>
      <w:bookmarkStart w:id="54" w:name="_Hlk72263559"/>
      <w:r>
        <w:rPr>
          <w:rFonts w:hint="eastAsia" w:ascii="宋体" w:hAnsi="宋体"/>
          <w:b/>
          <w:szCs w:val="21"/>
        </w:rPr>
        <w:t>2.关于填写“开标一览表”的说明：“开标一览表”中除“投标总价”外，其他信息不作评审依据。</w:t>
      </w:r>
      <w:bookmarkEnd w:id="53"/>
      <w:bookmarkEnd w:id="54"/>
    </w:p>
    <w:p>
      <w:pPr>
        <w:rPr>
          <w:rFonts w:ascii="宋体" w:hAnsi="宋体"/>
          <w:color w:val="FF0000"/>
          <w:sz w:val="24"/>
        </w:rPr>
      </w:pPr>
    </w:p>
    <w:p>
      <w:pPr>
        <w:widowControl/>
        <w:jc w:val="left"/>
        <w:rPr>
          <w:rFonts w:ascii="宋体" w:hAnsi="宋体"/>
          <w:color w:val="FF0000"/>
          <w:sz w:val="24"/>
        </w:rPr>
      </w:pPr>
      <w:r>
        <w:rPr>
          <w:rFonts w:ascii="宋体" w:hAnsi="宋体"/>
          <w:color w:val="FF0000"/>
          <w:sz w:val="24"/>
        </w:rPr>
        <w:br w:type="page"/>
      </w:r>
    </w:p>
    <w:p>
      <w:pPr>
        <w:rPr>
          <w:rFonts w:ascii="宋体" w:hAnsi="宋体"/>
          <w:color w:val="FF0000"/>
          <w:sz w:val="24"/>
        </w:rPr>
      </w:pPr>
    </w:p>
    <w:p>
      <w:pPr>
        <w:outlineLvl w:val="1"/>
        <w:rPr>
          <w:rFonts w:ascii="宋体" w:hAnsi="宋体"/>
          <w:b/>
          <w:color w:val="FF0000"/>
          <w:sz w:val="28"/>
          <w:szCs w:val="28"/>
        </w:rPr>
      </w:pPr>
      <w:r>
        <w:rPr>
          <w:rFonts w:hint="eastAsia" w:ascii="宋体" w:hAnsi="宋体"/>
          <w:b/>
          <w:color w:val="FF0000"/>
          <w:sz w:val="28"/>
          <w:szCs w:val="28"/>
        </w:rPr>
        <w:t>投标文件正文（信息公开部分）</w:t>
      </w:r>
    </w:p>
    <w:p>
      <w:pPr>
        <w:pStyle w:val="3"/>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bookmarkStart w:id="55" w:name="_Hlk72257506"/>
      <w:r>
        <w:rPr>
          <w:rFonts w:hint="eastAsia" w:ascii="宋体" w:hAnsi="宋体"/>
          <w:szCs w:val="21"/>
        </w:rPr>
        <w:t>致：</w:t>
      </w:r>
      <w:r>
        <w:rPr>
          <w:rFonts w:hint="eastAsia" w:ascii="宋体" w:hAnsi="宋体"/>
          <w:color w:val="FF0000"/>
          <w:szCs w:val="21"/>
          <w:u w:val="single"/>
        </w:rPr>
        <w:t>深圳公共资源交易中心</w:t>
      </w:r>
    </w:p>
    <w:p>
      <w:pPr>
        <w:ind w:firstLine="420" w:firstLineChars="200"/>
        <w:rPr>
          <w:rFonts w:ascii="宋体" w:hAnsi="宋体"/>
          <w:szCs w:val="21"/>
        </w:rPr>
      </w:pPr>
      <w:bookmarkStart w:id="56" w:name="_Hlk73818812"/>
      <w:r>
        <w:rPr>
          <w:rFonts w:hint="eastAsia"/>
          <w:szCs w:val="21"/>
        </w:rPr>
        <w:t>1、根据已收到贵单位的项目编号为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的</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项目的招标文件，遵照《深圳经济特区政府采购条例》和《深圳网上政府采购管理暂行办法》等有关规定，我单位经研究上述招标文件的专用条款及通用条款后，</w:t>
      </w:r>
      <w:bookmarkStart w:id="57" w:name="_Hlk72263588"/>
      <w:r>
        <w:rPr>
          <w:rFonts w:hint="eastAsia"/>
          <w:szCs w:val="21"/>
        </w:rPr>
        <w:t>愿意按照招标文件要求承包上述项目并修补其任何缺陷。</w:t>
      </w:r>
      <w:bookmarkEnd w:id="57"/>
    </w:p>
    <w:p>
      <w:pPr>
        <w:ind w:firstLine="420" w:firstLineChars="200"/>
        <w:rPr>
          <w:rFonts w:ascii="宋体" w:hAnsi="宋体"/>
          <w:szCs w:val="21"/>
        </w:rPr>
      </w:pPr>
      <w:r>
        <w:rPr>
          <w:rFonts w:ascii="宋体" w:hAnsi="宋体"/>
          <w:szCs w:val="21"/>
        </w:rPr>
        <w:t>2</w:t>
      </w:r>
      <w:r>
        <w:rPr>
          <w:rFonts w:hint="eastAsia" w:ascii="宋体" w:hAnsi="宋体"/>
          <w:szCs w:val="21"/>
        </w:rPr>
        <w:t>、</w:t>
      </w:r>
      <w:bookmarkStart w:id="58" w:name="_Hlk73819847"/>
      <w:r>
        <w:rPr>
          <w:rFonts w:hint="eastAsia" w:ascii="宋体" w:hAnsi="宋体"/>
          <w:szCs w:val="21"/>
        </w:rPr>
        <w:t>投标价格见投标书编制软件中《开标一览表》中填写的投标报价</w:t>
      </w:r>
      <w:r>
        <w:rPr>
          <w:rFonts w:hint="eastAsia"/>
          <w:szCs w:val="21"/>
        </w:rPr>
        <w:t>。</w:t>
      </w:r>
      <w:bookmarkEnd w:id="58"/>
    </w:p>
    <w:p>
      <w:pPr>
        <w:ind w:firstLine="420" w:firstLineChars="200"/>
        <w:rPr>
          <w:rFonts w:ascii="宋体" w:hAnsi="宋体"/>
          <w:szCs w:val="21"/>
        </w:rPr>
      </w:pPr>
      <w:r>
        <w:rPr>
          <w:rFonts w:hint="eastAsia" w:ascii="宋体" w:hAnsi="宋体"/>
          <w:szCs w:val="21"/>
        </w:rPr>
        <w:t>3、如果我单位中标，我单位将按照招标文件的要求提交履约担保。</w:t>
      </w:r>
    </w:p>
    <w:p>
      <w:pPr>
        <w:ind w:firstLine="420" w:firstLineChars="200"/>
        <w:rPr>
          <w:rFonts w:ascii="宋体" w:hAnsi="宋体"/>
          <w:szCs w:val="21"/>
        </w:rPr>
      </w:pPr>
      <w:r>
        <w:rPr>
          <w:rFonts w:hint="eastAsia" w:ascii="宋体" w:hAnsi="宋体"/>
          <w:szCs w:val="21"/>
        </w:rPr>
        <w:t>4、我单位同意所递交的投标文件在“对通用条款的补充内容”中明确的投标有效期内有效，在此期间内我单位的投标有可能中标，我方将受此约束。</w:t>
      </w:r>
    </w:p>
    <w:p>
      <w:pPr>
        <w:ind w:firstLine="420" w:firstLineChars="200"/>
        <w:rPr>
          <w:rFonts w:ascii="宋体" w:hAnsi="宋体"/>
          <w:szCs w:val="21"/>
        </w:rPr>
      </w:pPr>
      <w:r>
        <w:rPr>
          <w:rFonts w:hint="eastAsia" w:ascii="宋体" w:hAnsi="宋体"/>
          <w:szCs w:val="21"/>
        </w:rPr>
        <w:t>5、除非另外达成协议并生效，贵单位的中标通知书和本投标文件将构成合同的重要内容。</w:t>
      </w:r>
    </w:p>
    <w:p>
      <w:pPr>
        <w:ind w:firstLine="420" w:firstLineChars="200"/>
        <w:rPr>
          <w:rFonts w:ascii="宋体" w:hAnsi="宋体"/>
          <w:szCs w:val="21"/>
        </w:rPr>
      </w:pPr>
      <w:r>
        <w:rPr>
          <w:rFonts w:hint="eastAsia" w:ascii="宋体" w:hAnsi="宋体"/>
          <w:szCs w:val="21"/>
        </w:rPr>
        <w:t>6、我单位理解贵单位将不受必须接受所收到的最低报价或其它任何投标文件的约束。</w:t>
      </w:r>
      <w:bookmarkEnd w:id="56"/>
    </w:p>
    <w:p>
      <w:pPr>
        <w:ind w:firstLine="420" w:firstLineChars="200"/>
        <w:rPr>
          <w:rFonts w:ascii="宋体" w:hAnsi="宋体"/>
          <w:szCs w:val="21"/>
        </w:rPr>
      </w:pPr>
      <w:r>
        <w:rPr>
          <w:rFonts w:hint="eastAsia" w:ascii="宋体" w:hAnsi="宋体"/>
          <w:szCs w:val="21"/>
        </w:rPr>
        <w:t>7、如我单位按项目要求提供样品，且未在规定时间内取回样品的，视同放弃取回，同意深圳公共资源交易中心对样品进行清理。</w:t>
      </w:r>
    </w:p>
    <w:p>
      <w:pPr>
        <w:ind w:left="540" w:leftChars="257"/>
        <w:rPr>
          <w:szCs w:val="21"/>
        </w:rPr>
      </w:pPr>
      <w:r>
        <w:rPr>
          <w:rFonts w:hint="eastAsia"/>
          <w:szCs w:val="21"/>
        </w:rPr>
        <w:t>投标人：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单位地址：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 xml:space="preserve">  </w:t>
      </w:r>
    </w:p>
    <w:p>
      <w:pPr>
        <w:ind w:left="540" w:leftChars="257"/>
        <w:rPr>
          <w:szCs w:val="21"/>
          <w:u w:val="single"/>
        </w:rPr>
      </w:pPr>
      <w:r>
        <w:rPr>
          <w:rFonts w:hint="eastAsia"/>
          <w:szCs w:val="21"/>
        </w:rPr>
        <w:t>法定代表人（负责人）或其委托代理人：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u w:val="single"/>
        </w:rPr>
      </w:pPr>
      <w:r>
        <w:rPr>
          <w:rFonts w:hint="eastAsia"/>
          <w:szCs w:val="21"/>
        </w:rPr>
        <w:t>邮政编码：</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u w:val="single"/>
        </w:rPr>
      </w:pPr>
      <w:r>
        <w:rPr>
          <w:rFonts w:hint="eastAsia"/>
          <w:szCs w:val="21"/>
        </w:rPr>
        <w:t>邮箱：</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szCs w:val="21"/>
          <w:u w:val="single"/>
        </w:rPr>
        <w:tab/>
      </w:r>
      <w:r>
        <w:rPr>
          <w:rFonts w:hint="eastAsia"/>
          <w:szCs w:val="21"/>
          <w:u w:val="single"/>
        </w:rPr>
        <w:tab/>
      </w:r>
      <w:r>
        <w:rPr>
          <w:rFonts w:hint="eastAsia" w:ascii="宋体" w:hAnsi="宋体"/>
          <w:szCs w:val="21"/>
        </w:rPr>
        <w:t>年</w:t>
      </w:r>
      <w:r>
        <w:rPr>
          <w:rFonts w:hint="eastAsia"/>
          <w:szCs w:val="21"/>
          <w:u w:val="single"/>
        </w:rPr>
        <w:tab/>
      </w:r>
      <w:r>
        <w:rPr>
          <w:rFonts w:hint="eastAsia"/>
          <w:szCs w:val="21"/>
          <w:u w:val="single"/>
        </w:rPr>
        <w:tab/>
      </w:r>
      <w:r>
        <w:rPr>
          <w:rFonts w:hint="eastAsia" w:ascii="宋体" w:hAnsi="宋体"/>
          <w:szCs w:val="21"/>
        </w:rPr>
        <w:t>月</w:t>
      </w:r>
      <w:r>
        <w:rPr>
          <w:rFonts w:hint="eastAsia"/>
          <w:szCs w:val="21"/>
          <w:u w:val="single"/>
        </w:rPr>
        <w:tab/>
      </w:r>
      <w:r>
        <w:rPr>
          <w:rFonts w:hint="eastAsia"/>
          <w:szCs w:val="21"/>
          <w:u w:val="single"/>
        </w:rPr>
        <w:tab/>
      </w:r>
      <w:r>
        <w:rPr>
          <w:rFonts w:hint="eastAsia" w:ascii="宋体" w:hAnsi="宋体"/>
          <w:szCs w:val="21"/>
        </w:rPr>
        <w:t>日</w:t>
      </w:r>
    </w:p>
    <w:p>
      <w:pPr>
        <w:rPr>
          <w:rFonts w:ascii="黑体" w:hAnsi="宋体" w:eastAsia="黑体"/>
        </w:rPr>
      </w:pPr>
    </w:p>
    <w:bookmarkEnd w:id="55"/>
    <w:p>
      <w:pPr>
        <w:pStyle w:val="3"/>
        <w:jc w:val="center"/>
        <w:rPr>
          <w:rFonts w:ascii="黑体" w:eastAsia="黑体"/>
          <w:b w:val="0"/>
          <w:sz w:val="24"/>
        </w:rPr>
      </w:pPr>
      <w:r>
        <w:rPr>
          <w:rFonts w:hint="eastAsia" w:ascii="黑体" w:eastAsia="黑体"/>
          <w:b w:val="0"/>
          <w:sz w:val="24"/>
        </w:rPr>
        <w:t>二、政府采购投标及履约承诺函</w:t>
      </w:r>
    </w:p>
    <w:p>
      <w:pPr>
        <w:rPr>
          <w:rFonts w:ascii="宋体" w:hAnsi="宋体"/>
          <w:color w:val="FF0000"/>
          <w:szCs w:val="21"/>
        </w:rPr>
      </w:pPr>
      <w:bookmarkStart w:id="59" w:name="_Hlk72257530"/>
      <w:r>
        <w:rPr>
          <w:rFonts w:hint="eastAsia" w:ascii="宋体" w:hAnsi="宋体"/>
          <w:color w:val="FF0000"/>
          <w:szCs w:val="21"/>
        </w:rPr>
        <w:t>致：</w:t>
      </w:r>
      <w:r>
        <w:rPr>
          <w:rFonts w:hint="eastAsia" w:ascii="宋体" w:hAnsi="宋体"/>
          <w:color w:val="FF0000"/>
          <w:szCs w:val="21"/>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ascii="宋体" w:hAnsi="宋体"/>
          <w:szCs w:val="21"/>
        </w:rPr>
      </w:pPr>
      <w:r>
        <w:rPr>
          <w:rFonts w:hint="eastAsia" w:ascii="宋体" w:hAnsi="宋体"/>
          <w:szCs w:val="21"/>
        </w:rPr>
        <w:t>1.我单位参与本项目所投标（响应）的货物、工程或服务，不存在侵犯知识产权的情况；已知悉并同意中标（成交）结果信息公示（公开）的内容。</w:t>
      </w:r>
    </w:p>
    <w:p>
      <w:pPr>
        <w:ind w:firstLine="420" w:firstLineChars="200"/>
        <w:rPr>
          <w:rFonts w:ascii="宋体" w:hAnsi="宋体"/>
          <w:szCs w:val="21"/>
        </w:rPr>
      </w:pPr>
      <w:r>
        <w:rPr>
          <w:rFonts w:hint="eastAsia" w:ascii="宋体" w:hAnsi="宋体"/>
          <w:szCs w:val="21"/>
        </w:rPr>
        <w:t>2.我单位参与该项目投标，符合招标文件关于联合体及进口产品的相关资格要求。</w:t>
      </w:r>
    </w:p>
    <w:p>
      <w:pPr>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4.我单位具备《中华人民共和国政府采购法》第二十二条的条件。</w:t>
      </w:r>
    </w:p>
    <w:p>
      <w:pPr>
        <w:ind w:firstLine="420" w:firstLineChars="200"/>
        <w:rPr>
          <w:rFonts w:ascii="宋体" w:hAnsi="宋体"/>
          <w:szCs w:val="21"/>
        </w:rPr>
      </w:pPr>
      <w:r>
        <w:rPr>
          <w:rFonts w:hint="eastAsia" w:ascii="宋体" w:hAnsi="宋体"/>
          <w:szCs w:val="21"/>
        </w:rPr>
        <w:t>5.我单位</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w:t>
      </w:r>
      <w:bookmarkStart w:id="60" w:name="_Hlk72587269"/>
      <w:bookmarkStart w:id="61"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60"/>
      <w:r>
        <w:rPr>
          <w:rFonts w:hint="eastAsia" w:ascii="宋体" w:hAnsi="宋体"/>
          <w:szCs w:val="21"/>
        </w:rPr>
        <w:t>。</w:t>
      </w:r>
    </w:p>
    <w:bookmarkEnd w:id="61"/>
    <w:p>
      <w:pPr>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ascii="宋体" w:hAnsi="宋体"/>
          <w:szCs w:val="21"/>
        </w:rPr>
        <w:t>8</w:t>
      </w:r>
      <w:r>
        <w:rPr>
          <w:rFonts w:hint="eastAsia" w:ascii="宋体" w:hAnsi="宋体"/>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ascii="宋体" w:hAnsi="宋体"/>
          <w:szCs w:val="21"/>
        </w:rPr>
        <w:t>9</w:t>
      </w:r>
      <w:r>
        <w:rPr>
          <w:rFonts w:hint="eastAsia" w:ascii="宋体" w:hAnsi="宋体"/>
          <w:szCs w:val="21"/>
        </w:rPr>
        <w:t>.我单位承诺中标后项目不转包，未经采购人同意不进行分包。</w:t>
      </w:r>
    </w:p>
    <w:p>
      <w:pPr>
        <w:ind w:firstLine="420" w:firstLineChars="200"/>
        <w:rPr>
          <w:rFonts w:ascii="宋体" w:hAnsi="宋体"/>
        </w:rPr>
      </w:pPr>
      <w:r>
        <w:rPr>
          <w:rFonts w:hint="eastAsia" w:ascii="宋体" w:hAnsi="宋体"/>
          <w:szCs w:val="21"/>
        </w:rPr>
        <w:t>1</w:t>
      </w:r>
      <w:r>
        <w:rPr>
          <w:rFonts w:ascii="宋体" w:hAnsi="宋体"/>
          <w:szCs w:val="21"/>
        </w:rPr>
        <w:t>0.</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rPr>
      </w:pPr>
      <w:r>
        <w:rPr>
          <w:rFonts w:ascii="宋体" w:hAnsi="宋体"/>
        </w:rPr>
        <w:t>11.</w:t>
      </w:r>
      <w:r>
        <w:rPr>
          <w:rFonts w:hint="eastAsia" w:ascii="宋体" w:hAnsi="宋体"/>
          <w:lang w:eastAsia="zh-CN"/>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财办库〔2023〕7号）要求</w:t>
      </w:r>
      <w:r>
        <w:rPr>
          <w:rFonts w:hint="eastAsia" w:ascii="宋体" w:hAnsi="宋体"/>
        </w:rPr>
        <w:t>。</w:t>
      </w:r>
    </w:p>
    <w:p>
      <w:pPr>
        <w:ind w:firstLine="420" w:firstLineChars="200"/>
        <w:rPr>
          <w:rFonts w:ascii="宋体" w:hAnsi="宋体"/>
        </w:rPr>
      </w:pPr>
      <w:r>
        <w:rPr>
          <w:rFonts w:hint="eastAsia" w:ascii="宋体" w:hAnsi="宋体"/>
        </w:rPr>
        <w:t>12. 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ind w:firstLine="420" w:firstLineChars="200"/>
        <w:rPr>
          <w:rFonts w:ascii="宋体" w:hAnsi="宋体"/>
        </w:rPr>
      </w:pPr>
      <w:r>
        <w:rPr>
          <w:rFonts w:hint="eastAsia" w:ascii="宋体" w:hAnsi="宋体"/>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pPr>
        <w:ind w:firstLine="422" w:firstLineChars="200"/>
        <w:rPr>
          <w:rFonts w:ascii="宋体" w:hAnsi="宋体"/>
        </w:rPr>
      </w:pPr>
      <w:r>
        <w:rPr>
          <w:rFonts w:hint="eastAsia" w:ascii="宋体" w:hAnsi="宋体"/>
          <w:b/>
          <w:bCs/>
        </w:rPr>
        <w:t>14.我单位清楚，如存在违反投标承诺行为情节严重的，将根据《深圳市财政局关于印发&lt;深圳市财政局政府采购供应商信用信息管理办法&gt;的通知》，依法被列入失信信息。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szCs w:val="21"/>
        </w:rPr>
      </w:pPr>
      <w:r>
        <w:rPr>
          <w:rFonts w:hint="eastAsia" w:ascii="宋体" w:hAnsi="宋体"/>
          <w:szCs w:val="21"/>
        </w:rPr>
        <w:t>以上承诺，如有违反，愿依照国家相关法律法规处理，并承担由此给采购人带来的损失。</w:t>
      </w:r>
    </w:p>
    <w:p>
      <w:pPr>
        <w:spacing w:before="60" w:beforeLines="25" w:after="60" w:afterLines="25"/>
        <w:ind w:firstLine="5460" w:firstLineChars="2600"/>
        <w:rPr>
          <w:rFonts w:ascii="宋体" w:hAnsi="宋体"/>
          <w:szCs w:val="21"/>
        </w:rPr>
      </w:pPr>
    </w:p>
    <w:p>
      <w:pPr>
        <w:spacing w:before="60" w:beforeLines="25" w:after="60" w:afterLines="25"/>
        <w:jc w:val="right"/>
        <w:rPr>
          <w:color w:val="FF0000"/>
        </w:rPr>
      </w:pPr>
      <w:r>
        <w:rPr>
          <w:rFonts w:hint="eastAsia"/>
          <w:color w:val="FF0000"/>
          <w:szCs w:val="21"/>
        </w:rPr>
        <w:t>投标人：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p>
    <w:p>
      <w:pPr>
        <w:ind w:firstLine="645"/>
        <w:rPr>
          <w:rFonts w:ascii="宋体" w:hAnsi="宋体"/>
          <w:color w:val="FF0000"/>
          <w:szCs w:val="21"/>
        </w:rPr>
      </w:pPr>
      <w:r>
        <w:rPr>
          <w:rFonts w:hint="eastAsia" w:ascii="宋体" w:hAnsi="宋体"/>
          <w:color w:val="FF0000"/>
          <w:szCs w:val="21"/>
        </w:rPr>
        <w:t xml:space="preserve">                                           日期：</w:t>
      </w:r>
      <w:r>
        <w:rPr>
          <w:rFonts w:hint="eastAsia"/>
          <w:color w:val="FF0000"/>
          <w:szCs w:val="21"/>
          <w:u w:val="single"/>
        </w:rPr>
        <w:tab/>
      </w:r>
      <w:r>
        <w:rPr>
          <w:rFonts w:hint="eastAsia"/>
          <w:color w:val="FF0000"/>
          <w:szCs w:val="21"/>
          <w:u w:val="single"/>
        </w:rPr>
        <w:tab/>
      </w:r>
      <w:r>
        <w:rPr>
          <w:rFonts w:hint="eastAsia" w:ascii="宋体" w:hAnsi="宋体"/>
          <w:color w:val="FF0000"/>
          <w:szCs w:val="21"/>
        </w:rPr>
        <w:t>年</w:t>
      </w:r>
      <w:r>
        <w:rPr>
          <w:rFonts w:hint="eastAsia"/>
          <w:color w:val="FF0000"/>
          <w:szCs w:val="21"/>
          <w:u w:val="single"/>
        </w:rPr>
        <w:tab/>
      </w:r>
      <w:r>
        <w:rPr>
          <w:rFonts w:hint="eastAsia"/>
          <w:color w:val="FF0000"/>
          <w:szCs w:val="21"/>
          <w:u w:val="single"/>
        </w:rPr>
        <w:tab/>
      </w:r>
      <w:r>
        <w:rPr>
          <w:rFonts w:hint="eastAsia" w:ascii="宋体" w:hAnsi="宋体"/>
          <w:color w:val="FF0000"/>
          <w:szCs w:val="21"/>
        </w:rPr>
        <w:t>月</w:t>
      </w:r>
      <w:r>
        <w:rPr>
          <w:rFonts w:hint="eastAsia"/>
          <w:color w:val="FF0000"/>
          <w:szCs w:val="21"/>
          <w:u w:val="single"/>
        </w:rPr>
        <w:tab/>
      </w:r>
      <w:r>
        <w:rPr>
          <w:rFonts w:hint="eastAsia"/>
          <w:color w:val="FF0000"/>
          <w:szCs w:val="21"/>
          <w:u w:val="single"/>
        </w:rPr>
        <w:tab/>
      </w:r>
      <w:r>
        <w:rPr>
          <w:rFonts w:hint="eastAsia" w:ascii="宋体" w:hAnsi="宋体"/>
          <w:color w:val="FF0000"/>
          <w:szCs w:val="21"/>
        </w:rPr>
        <w:t>日</w:t>
      </w:r>
    </w:p>
    <w:bookmarkEnd w:id="59"/>
    <w:p>
      <w:pPr>
        <w:rPr>
          <w:rFonts w:ascii="宋体"/>
          <w:b/>
          <w:szCs w:val="21"/>
        </w:rPr>
      </w:pPr>
    </w:p>
    <w:p>
      <w:pPr>
        <w:ind w:firstLine="482" w:firstLineChars="200"/>
        <w:jc w:val="center"/>
        <w:rPr>
          <w:rFonts w:hAnsi="宋体"/>
          <w:b/>
          <w:bCs/>
          <w:sz w:val="24"/>
        </w:rPr>
      </w:pPr>
    </w:p>
    <w:p>
      <w:pPr>
        <w:pStyle w:val="3"/>
        <w:jc w:val="center"/>
        <w:rPr>
          <w:rFonts w:ascii="黑体" w:eastAsia="黑体"/>
          <w:b w:val="0"/>
          <w:sz w:val="24"/>
          <w:szCs w:val="24"/>
        </w:rPr>
      </w:pPr>
      <w:r>
        <w:rPr>
          <w:rFonts w:hint="eastAsia" w:ascii="黑体" w:eastAsia="黑体"/>
          <w:b w:val="0"/>
          <w:sz w:val="24"/>
          <w:szCs w:val="24"/>
        </w:rPr>
        <w:t>三、投标人情况及资格证明文件</w:t>
      </w:r>
    </w:p>
    <w:p>
      <w:pPr>
        <w:jc w:val="left"/>
        <w:outlineLvl w:val="3"/>
        <w:rPr>
          <w:rFonts w:ascii="黑体" w:hAnsi="宋体" w:eastAsia="黑体"/>
          <w:bCs/>
          <w:kern w:val="0"/>
          <w:sz w:val="24"/>
          <w:szCs w:val="32"/>
        </w:rPr>
      </w:pPr>
      <w:bookmarkStart w:id="62" w:name="_Hlk72257590"/>
      <w:r>
        <w:rPr>
          <w:rFonts w:hint="eastAsia" w:ascii="黑体" w:hAnsi="宋体" w:eastAsia="黑体"/>
          <w:bCs/>
          <w:kern w:val="0"/>
          <w:sz w:val="24"/>
          <w:szCs w:val="32"/>
        </w:rPr>
        <w:t>（一）投标人资格证明文件</w:t>
      </w:r>
    </w:p>
    <w:p>
      <w:pPr>
        <w:spacing w:before="120" w:beforeLines="50"/>
        <w:ind w:firstLine="422" w:firstLineChars="200"/>
        <w:rPr>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w:t>
      </w:r>
    </w:p>
    <w:p>
      <w:pPr>
        <w:rPr>
          <w:b/>
          <w:sz w:val="22"/>
        </w:rPr>
      </w:pPr>
    </w:p>
    <w:p>
      <w:pPr>
        <w:outlineLvl w:val="3"/>
        <w:rPr>
          <w:rFonts w:ascii="黑体" w:hAnsi="宋体" w:eastAsia="黑体"/>
          <w:bCs/>
          <w:kern w:val="0"/>
          <w:sz w:val="24"/>
          <w:szCs w:val="32"/>
        </w:rPr>
      </w:pPr>
      <w:r>
        <w:rPr>
          <w:rFonts w:hint="eastAsia" w:ascii="黑体" w:hAnsi="宋体" w:eastAsia="黑体"/>
          <w:bCs/>
          <w:kern w:val="0"/>
          <w:sz w:val="24"/>
          <w:szCs w:val="32"/>
        </w:rPr>
        <w:t>（二）</w:t>
      </w:r>
      <w:bookmarkStart w:id="63" w:name="_Hlk72257908"/>
      <w:r>
        <w:rPr>
          <w:rFonts w:hint="eastAsia" w:ascii="黑体" w:hAnsi="宋体" w:eastAsia="黑体"/>
          <w:bCs/>
          <w:kern w:val="0"/>
          <w:sz w:val="24"/>
          <w:szCs w:val="32"/>
        </w:rPr>
        <w:t>中小企业声明函、残疾人福利性单位声明函及监狱企业声明函</w:t>
      </w:r>
    </w:p>
    <w:bookmarkEnd w:id="62"/>
    <w:p>
      <w:pPr>
        <w:rPr>
          <w:b/>
          <w:bCs/>
          <w:color w:val="FF0000"/>
        </w:rPr>
      </w:pPr>
      <w:r>
        <w:rPr>
          <w:rFonts w:hint="eastAsia"/>
          <w:b/>
          <w:bCs/>
          <w:color w:val="FF0000"/>
        </w:rPr>
        <w:t>填写指引：</w:t>
      </w:r>
    </w:p>
    <w:p>
      <w:pPr>
        <w:rPr>
          <w:b/>
          <w:bCs/>
          <w:color w:val="FF0000"/>
        </w:rPr>
      </w:pPr>
      <w:r>
        <w:rPr>
          <w:rFonts w:hint="eastAsia"/>
          <w:b/>
          <w:bCs/>
          <w:color w:val="FF0000"/>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rPr>
          <w:b/>
          <w:bCs/>
          <w:color w:val="FF0000"/>
        </w:rPr>
      </w:pPr>
      <w:r>
        <w:rPr>
          <w:rFonts w:hint="eastAsia"/>
          <w:b/>
          <w:bCs/>
          <w:color w:val="FF0000"/>
        </w:rPr>
        <w:t>2、该部分内容填写需要参考的相关文件：(</w:t>
      </w:r>
      <w:r>
        <w:rPr>
          <w:b/>
          <w:bCs/>
          <w:color w:val="FF0000"/>
        </w:rPr>
        <w:t>1</w:t>
      </w:r>
      <w:r>
        <w:rPr>
          <w:rFonts w:hint="eastAsia"/>
          <w:b/>
          <w:bCs/>
          <w:color w:val="FF0000"/>
        </w:rPr>
        <w:t>)财政部《政府采购促进中小企业发展管理办法》（财库〔2020〕46号）；(</w:t>
      </w:r>
      <w:r>
        <w:rPr>
          <w:b/>
          <w:bCs/>
          <w:color w:val="FF0000"/>
        </w:rPr>
        <w:t>2</w:t>
      </w:r>
      <w:r>
        <w:rPr>
          <w:rFonts w:hint="eastAsia"/>
          <w:b/>
          <w:bCs/>
          <w:color w:val="FF0000"/>
        </w:rPr>
        <w:t>)《工业和信息化部、国家统计局、国家发展和改革委员会、财政部关于印发中小企业划型标准规定的通知》（工信部联企业〔2011〕300 号，以下简称3</w:t>
      </w:r>
      <w:r>
        <w:rPr>
          <w:b/>
          <w:bCs/>
          <w:color w:val="FF0000"/>
        </w:rPr>
        <w:t>00</w:t>
      </w:r>
      <w:r>
        <w:rPr>
          <w:rFonts w:hint="eastAsia"/>
          <w:b/>
          <w:bCs/>
          <w:color w:val="FF0000"/>
        </w:rPr>
        <w:t>号文）。</w:t>
      </w:r>
    </w:p>
    <w:p>
      <w:pPr>
        <w:rPr>
          <w:b/>
          <w:bCs/>
          <w:color w:val="FF0000"/>
        </w:rPr>
      </w:pPr>
      <w:r>
        <w:rPr>
          <w:rFonts w:hint="eastAsia"/>
          <w:b/>
          <w:bCs/>
          <w:color w:val="FF0000"/>
        </w:rPr>
        <w:t>3、请依照提供的格式和内容填写声明函，不要随意变更格式；声明函不需要盖章或签字；满足多项优惠政策的投标人，不重复享受多项价格扣除政策。</w:t>
      </w:r>
    </w:p>
    <w:p>
      <w:pPr>
        <w:rPr>
          <w:b/>
          <w:bCs/>
          <w:color w:val="FF0000"/>
        </w:rPr>
      </w:pPr>
      <w:r>
        <w:rPr>
          <w:rFonts w:hint="eastAsia"/>
          <w:b/>
          <w:bCs/>
          <w:color w:val="FF0000"/>
        </w:rPr>
        <w:t>4、声明函具体填写要求：</w:t>
      </w:r>
    </w:p>
    <w:p>
      <w:pPr>
        <w:rPr>
          <w:b/>
          <w:bCs/>
          <w:color w:val="FF0000"/>
        </w:rPr>
      </w:pPr>
      <w:r>
        <w:rPr>
          <w:rFonts w:hint="eastAsia"/>
          <w:b/>
          <w:bCs/>
          <w:color w:val="FF0000"/>
        </w:rPr>
        <w:t>（1）声明是中小企业须填写《中小企业声明函》（货物）的以下内容：</w:t>
      </w:r>
    </w:p>
    <w:p>
      <w:pPr>
        <w:rPr>
          <w:b/>
          <w:bCs/>
          <w:color w:val="FF0000"/>
        </w:rPr>
      </w:pPr>
      <w:r>
        <w:rPr>
          <w:rFonts w:hint="eastAsia"/>
          <w:b/>
          <w:bCs/>
          <w:color w:val="FF0000"/>
        </w:rPr>
        <w:t>第一处，在“单位名称”下划线处如实填写采购人名称（深圳公共资源交易中心不是本项目的采购人，而是组织实施机构）；</w:t>
      </w:r>
    </w:p>
    <w:p>
      <w:pPr>
        <w:rPr>
          <w:b/>
          <w:bCs/>
          <w:color w:val="FF0000"/>
        </w:rPr>
      </w:pPr>
      <w:r>
        <w:rPr>
          <w:rFonts w:hint="eastAsia"/>
          <w:b/>
          <w:bCs/>
          <w:color w:val="FF0000"/>
        </w:rPr>
        <w:t>第二处，在“项目名称”下划线处如实填写采购项目名称；</w:t>
      </w:r>
    </w:p>
    <w:p>
      <w:pPr>
        <w:rPr>
          <w:b/>
          <w:bCs/>
          <w:color w:val="FF0000"/>
        </w:rPr>
      </w:pPr>
      <w:r>
        <w:rPr>
          <w:rFonts w:hint="eastAsia"/>
          <w:b/>
          <w:bCs/>
          <w:color w:val="FF0000"/>
        </w:rPr>
        <w:t>第三处，在“标的名称”下划线处填写所采购货物（标的）的具体名称（以招标文件第一册第三章用户需求书“货物需求明细”的“货物名称”一栏为准）；如果涉及多项货物（标的）为同一企业制造，“标的名称”下划线处可以如实填写多项货物；</w:t>
      </w:r>
    </w:p>
    <w:p>
      <w:pPr>
        <w:rPr>
          <w:b/>
          <w:bCs/>
          <w:color w:val="FF0000"/>
        </w:rPr>
      </w:pPr>
      <w:r>
        <w:rPr>
          <w:rFonts w:hint="eastAsia"/>
          <w:b/>
          <w:bCs/>
          <w:color w:val="FF0000"/>
        </w:rPr>
        <w:t>第四处，在“采购文件中明确的所属行业”下划线处填写采购标的对应的中小企业划分标准所属行业（所属行业可在招标文件第一册第二章“对通用条款的补充内容及其他关键信息”章节查看）；</w:t>
      </w:r>
    </w:p>
    <w:p>
      <w:pPr>
        <w:rPr>
          <w:b/>
          <w:bCs/>
          <w:color w:val="FF0000"/>
        </w:rPr>
      </w:pPr>
      <w:r>
        <w:rPr>
          <w:rFonts w:hint="eastAsia"/>
          <w:b/>
          <w:bCs/>
          <w:color w:val="FF0000"/>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rPr>
          <w:b/>
          <w:bCs/>
          <w:color w:val="FF0000"/>
        </w:rPr>
      </w:pPr>
      <w:r>
        <w:rPr>
          <w:rFonts w:hint="eastAsia"/>
          <w:b/>
          <w:bCs/>
          <w:color w:val="FF0000"/>
        </w:rPr>
        <w:t>（2）声明是残疾人福利性单位须填写《残疾人福利性单位声明函》（货物类）的相关内容，具体参照上述针对《中小企业声明函》的填写要求进行填写。</w:t>
      </w:r>
    </w:p>
    <w:p>
      <w:pPr>
        <w:rPr>
          <w:b/>
          <w:bCs/>
          <w:color w:val="FF0000"/>
        </w:rPr>
      </w:pPr>
      <w:r>
        <w:rPr>
          <w:rFonts w:hint="eastAsia"/>
          <w:b/>
          <w:bCs/>
          <w:color w:val="FF0000"/>
        </w:rPr>
        <w:t>（3）声明是监狱企业须填写《监狱企业声明函》的三项内容（填写位置的字体已加粗），具体参照上述针对《中小企业声明函》的填写要求进行填写。</w:t>
      </w:r>
    </w:p>
    <w:p>
      <w:pPr>
        <w:rPr>
          <w:b/>
          <w:bCs/>
        </w:rPr>
      </w:pPr>
      <w:r>
        <w:rPr>
          <w:rFonts w:hint="eastAsia"/>
          <w:b/>
          <w:bCs/>
          <w:color w:val="FF0000"/>
        </w:rPr>
        <w:t>5、声明函的有效性最终由评审委员会判定；如评审委员会判定声明函无效，相关供应商不享受价格扣除（但不作投标无效处理）。</w:t>
      </w:r>
    </w:p>
    <w:p>
      <w:pPr>
        <w:rPr>
          <w:rFonts w:ascii="Calibri" w:hAnsi="Calibri"/>
        </w:rPr>
      </w:pPr>
    </w:p>
    <w:p>
      <w:pPr>
        <w:jc w:val="center"/>
        <w:rPr>
          <w:b/>
          <w:sz w:val="24"/>
        </w:rPr>
      </w:pPr>
      <w:r>
        <w:rPr>
          <w:rFonts w:hint="eastAsia"/>
          <w:b/>
          <w:sz w:val="24"/>
        </w:rPr>
        <w:t>1、</w:t>
      </w:r>
      <w:r>
        <w:rPr>
          <w:b/>
          <w:sz w:val="24"/>
        </w:rPr>
        <w:t xml:space="preserve">中小企业声明函（货物） </w:t>
      </w:r>
    </w:p>
    <w:p>
      <w:pPr>
        <w:ind w:firstLine="420" w:firstLineChars="200"/>
        <w:rPr>
          <w:rFonts w:ascii="宋体" w:hAnsi="宋体"/>
          <w:szCs w:val="21"/>
        </w:rPr>
      </w:pPr>
      <w:r>
        <w:rPr>
          <w:rFonts w:ascii="宋体" w:hAnsi="宋体"/>
          <w:szCs w:val="21"/>
        </w:rPr>
        <w:t>本</w:t>
      </w:r>
      <w:r>
        <w:rPr>
          <w:rFonts w:hint="eastAsia" w:ascii="宋体" w:hAnsi="宋体"/>
          <w:szCs w:val="21"/>
        </w:rPr>
        <w:t>公司（联合体）</w:t>
      </w:r>
      <w:r>
        <w:rPr>
          <w:rFonts w:ascii="宋体" w:hAnsi="宋体"/>
          <w:szCs w:val="21"/>
        </w:rPr>
        <w:t>郑重声明，根据《政府采购促进中小企业发展管理办法》（财库</w:t>
      </w:r>
      <w:r>
        <w:rPr>
          <w:rFonts w:hint="eastAsia" w:ascii="宋体" w:hAnsi="宋体" w:cs="微软雅黑"/>
          <w:szCs w:val="21"/>
        </w:rPr>
        <w:t>﹝</w:t>
      </w:r>
      <w:r>
        <w:rPr>
          <w:rFonts w:ascii="宋体" w:hAnsi="宋体"/>
          <w:szCs w:val="21"/>
        </w:rPr>
        <w:t>2020</w:t>
      </w:r>
      <w:r>
        <w:rPr>
          <w:rFonts w:hint="eastAsia" w:ascii="宋体" w:hAnsi="宋体" w:cs="微软雅黑"/>
          <w:szCs w:val="21"/>
        </w:rPr>
        <w:t>﹞</w:t>
      </w:r>
      <w:r>
        <w:rPr>
          <w:rFonts w:ascii="宋体" w:hAnsi="宋体"/>
          <w:szCs w:val="21"/>
        </w:rPr>
        <w:t>46号）的规定，本</w:t>
      </w:r>
      <w:r>
        <w:rPr>
          <w:rFonts w:hint="eastAsia" w:ascii="宋体" w:hAnsi="宋体"/>
          <w:szCs w:val="21"/>
        </w:rPr>
        <w:t>公司（联合体）</w:t>
      </w:r>
      <w:r>
        <w:rPr>
          <w:rFonts w:ascii="宋体" w:hAnsi="宋体"/>
          <w:szCs w:val="21"/>
        </w:rPr>
        <w:t>参加</w:t>
      </w:r>
      <w:r>
        <w:rPr>
          <w:rFonts w:ascii="宋体" w:hAnsi="宋体"/>
          <w:b/>
          <w:bCs/>
          <w:szCs w:val="21"/>
          <w:u w:val="single"/>
        </w:rPr>
        <w:t>（</w:t>
      </w:r>
      <w:r>
        <w:rPr>
          <w:rFonts w:hint="eastAsia" w:ascii="宋体" w:hAnsi="宋体"/>
          <w:b/>
          <w:bCs/>
          <w:szCs w:val="21"/>
          <w:u w:val="single"/>
        </w:rPr>
        <w:t>单位名称</w:t>
      </w:r>
      <w:r>
        <w:rPr>
          <w:rFonts w:ascii="宋体" w:hAnsi="宋体"/>
          <w:b/>
          <w:bCs/>
          <w:szCs w:val="21"/>
          <w:u w:val="single"/>
        </w:rPr>
        <w:t>）</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采购活动，提供的货物全部由符合政策要求的中小企业制造。相关企业</w:t>
      </w:r>
      <w:r>
        <w:rPr>
          <w:rFonts w:hint="eastAsia" w:ascii="宋体" w:hAnsi="宋体"/>
          <w:szCs w:val="21"/>
        </w:rPr>
        <w:t>（含联合体中的中小企业、签订分包意向协议的中小企业）</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，属于</w:t>
      </w:r>
      <w:r>
        <w:rPr>
          <w:rFonts w:ascii="宋体" w:hAnsi="宋体"/>
          <w:b/>
          <w:bCs/>
          <w:szCs w:val="21"/>
          <w:u w:val="single"/>
        </w:rPr>
        <w:t>（</w:t>
      </w:r>
      <w:r>
        <w:rPr>
          <w:rFonts w:hint="eastAsia" w:ascii="宋体" w:hAnsi="宋体"/>
          <w:b/>
          <w:bCs/>
          <w:szCs w:val="21"/>
          <w:u w:val="single"/>
        </w:rPr>
        <w:t>采购</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w:t>
      </w:r>
      <w:r>
        <w:rPr>
          <w:rFonts w:hint="eastAsia" w:ascii="宋体" w:hAnsi="宋体"/>
          <w:szCs w:val="21"/>
          <w:u w:val="single"/>
        </w:rPr>
        <w:t xml:space="preserve">  </w:t>
      </w:r>
      <w:r>
        <w:rPr>
          <w:rFonts w:ascii="宋体" w:hAnsi="宋体"/>
          <w:szCs w:val="21"/>
        </w:rPr>
        <w:t>人，营业收入为</w:t>
      </w:r>
      <w:r>
        <w:rPr>
          <w:rFonts w:hint="eastAsia" w:ascii="宋体" w:hAnsi="宋体"/>
          <w:szCs w:val="21"/>
        </w:rPr>
        <w:t xml:space="preserve">  </w:t>
      </w:r>
      <w:r>
        <w:rPr>
          <w:rFonts w:ascii="宋体" w:hAnsi="宋体"/>
          <w:szCs w:val="21"/>
        </w:rPr>
        <w:t>万元，资产总额为</w:t>
      </w:r>
      <w:r>
        <w:rPr>
          <w:rFonts w:hint="eastAsia" w:ascii="宋体" w:hAnsi="宋体"/>
          <w:szCs w:val="21"/>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szCs w:val="21"/>
        </w:rPr>
        <w:t xml:space="preserve">； </w:t>
      </w:r>
    </w:p>
    <w:p>
      <w:pPr>
        <w:ind w:firstLine="420" w:firstLineChars="200"/>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采购</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w:t>
      </w:r>
      <w:r>
        <w:rPr>
          <w:rFonts w:hint="eastAsia" w:ascii="宋体" w:hAnsi="宋体"/>
          <w:szCs w:val="21"/>
          <w:u w:val="single"/>
        </w:rPr>
        <w:t xml:space="preserve">  </w:t>
      </w:r>
      <w:r>
        <w:rPr>
          <w:rFonts w:ascii="宋体" w:hAnsi="宋体"/>
          <w:szCs w:val="21"/>
        </w:rPr>
        <w:t>人，营业收入为</w:t>
      </w:r>
      <w:r>
        <w:rPr>
          <w:rFonts w:hint="eastAsia" w:ascii="宋体" w:hAnsi="宋体"/>
          <w:szCs w:val="21"/>
        </w:rPr>
        <w:t xml:space="preserve">  </w:t>
      </w:r>
      <w:r>
        <w:rPr>
          <w:rFonts w:ascii="宋体" w:hAnsi="宋体"/>
          <w:szCs w:val="21"/>
        </w:rPr>
        <w:t>万元，资产总额为</w:t>
      </w:r>
      <w:r>
        <w:rPr>
          <w:rFonts w:hint="eastAsia" w:ascii="宋体" w:hAnsi="宋体"/>
          <w:szCs w:val="21"/>
        </w:rPr>
        <w:t xml:space="preserve">  </w:t>
      </w:r>
      <w:r>
        <w:rPr>
          <w:rFonts w:ascii="宋体" w:hAnsi="宋体"/>
          <w:szCs w:val="21"/>
        </w:rPr>
        <w:t>万元 ，属于</w:t>
      </w:r>
      <w:r>
        <w:rPr>
          <w:rFonts w:ascii="宋体" w:hAnsi="宋体"/>
          <w:b/>
          <w:bCs/>
          <w:szCs w:val="21"/>
          <w:u w:val="single"/>
        </w:rPr>
        <w:t>（中型企业、小型企业、微型企业）</w:t>
      </w:r>
      <w:r>
        <w:rPr>
          <w:rFonts w:hint="eastAsia" w:ascii="宋体" w:hAnsi="宋体"/>
          <w:szCs w:val="21"/>
        </w:rPr>
        <w:t>；</w:t>
      </w:r>
    </w:p>
    <w:p>
      <w:pPr>
        <w:ind w:firstLine="420" w:firstLineChars="200"/>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ind w:firstLine="420" w:firstLineChars="200"/>
      </w:pPr>
      <w:r>
        <w:rPr>
          <w:rFonts w:hint="eastAsia"/>
        </w:rPr>
        <w:t>本企业对上述声明内容的真实性负责。如有虚假，将依法承担相应责任。</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企业名称：            </w:t>
      </w:r>
    </w:p>
    <w:p>
      <w:pPr>
        <w:wordWrap w:val="0"/>
        <w:ind w:firstLine="420" w:firstLineChars="200"/>
        <w:jc w:val="right"/>
        <w:rPr>
          <w:rFonts w:ascii="宋体" w:hAnsi="宋体"/>
          <w:szCs w:val="21"/>
        </w:rPr>
      </w:pPr>
      <w:r>
        <w:rPr>
          <w:rFonts w:hint="eastAsia" w:ascii="宋体" w:hAnsi="宋体"/>
          <w:szCs w:val="21"/>
        </w:rPr>
        <w:t xml:space="preserve">日  期：            </w:t>
      </w:r>
    </w:p>
    <w:p>
      <w:pPr>
        <w:jc w:val="center"/>
        <w:rPr>
          <w:b/>
          <w:sz w:val="24"/>
        </w:rPr>
      </w:pPr>
    </w:p>
    <w:p>
      <w:pPr>
        <w:jc w:val="center"/>
        <w:rPr>
          <w:b/>
          <w:sz w:val="24"/>
        </w:rPr>
      </w:pPr>
      <w:r>
        <w:rPr>
          <w:rFonts w:hint="eastAsia"/>
          <w:b/>
          <w:sz w:val="24"/>
        </w:rPr>
        <w:t>2、残疾人福利性单位声明函（货物类）</w:t>
      </w:r>
    </w:p>
    <w:p>
      <w:pPr>
        <w:rPr>
          <w:b/>
          <w:bCs/>
        </w:rPr>
      </w:pPr>
    </w:p>
    <w:p>
      <w:pPr>
        <w:ind w:firstLine="420" w:firstLineChars="200"/>
        <w:rPr>
          <w:rFonts w:ascii="宋体" w:hAnsi="宋体"/>
          <w:szCs w:val="21"/>
        </w:rPr>
      </w:pPr>
      <w:r>
        <w:rPr>
          <w:rFonts w:ascii="宋体" w:hAnsi="宋体"/>
          <w:szCs w:val="21"/>
        </w:rPr>
        <w:t>本</w:t>
      </w:r>
      <w:r>
        <w:rPr>
          <w:rFonts w:hint="eastAsia" w:ascii="宋体" w:hAnsi="宋体"/>
          <w:szCs w:val="21"/>
        </w:rPr>
        <w:t>投标人郑重声明，根据《财政部民政部中国残疾人联合会关于促进残疾人就业政府采购政策的通知》（财库〔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号）的规定，本单位为符合条件的残疾人福利性单位，且本单位</w:t>
      </w:r>
      <w:r>
        <w:rPr>
          <w:rFonts w:ascii="宋体" w:hAnsi="宋体"/>
          <w:szCs w:val="21"/>
        </w:rPr>
        <w:t>参加</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hint="eastAsia" w:ascii="宋体" w:hAnsi="宋体"/>
          <w:szCs w:val="21"/>
          <w:u w:val="single"/>
        </w:rPr>
        <w:t>单位</w:t>
      </w:r>
      <w:r>
        <w:rPr>
          <w:rFonts w:ascii="宋体" w:hAnsi="宋体"/>
          <w:szCs w:val="21"/>
        </w:rPr>
        <w:t>的</w:t>
      </w:r>
      <w:r>
        <w:rPr>
          <w:rFonts w:ascii="宋体" w:hAnsi="宋体"/>
          <w:b/>
          <w:bCs/>
          <w:szCs w:val="21"/>
          <w:u w:val="single"/>
        </w:rPr>
        <w:t>（项目名称）</w:t>
      </w:r>
      <w:r>
        <w:rPr>
          <w:rFonts w:hint="eastAsia" w:ascii="宋体" w:hAnsi="宋体"/>
          <w:szCs w:val="21"/>
          <w:u w:val="single"/>
        </w:rPr>
        <w:t>项目</w:t>
      </w:r>
      <w:r>
        <w:rPr>
          <w:rFonts w:ascii="宋体" w:hAnsi="宋体"/>
          <w:szCs w:val="21"/>
        </w:rPr>
        <w:t>采购活动</w:t>
      </w:r>
      <w:r>
        <w:rPr>
          <w:rFonts w:hint="eastAsia" w:ascii="宋体" w:hAnsi="宋体"/>
          <w:szCs w:val="21"/>
        </w:rPr>
        <w:t>提供本单位制造的货物，或者提供其他残疾人福利性单位制造的货物（不包括使用非残疾人福利性单位注册商标的货物）。</w:t>
      </w:r>
    </w:p>
    <w:p>
      <w:pPr>
        <w:ind w:firstLine="420" w:firstLineChars="200"/>
        <w:rPr>
          <w:rFonts w:ascii="宋体" w:hAnsi="宋体"/>
          <w:szCs w:val="21"/>
        </w:rPr>
      </w:pPr>
      <w:r>
        <w:rPr>
          <w:rFonts w:hint="eastAsia" w:ascii="宋体" w:hAnsi="宋体"/>
          <w:szCs w:val="21"/>
        </w:rPr>
        <w:t>本单位对上述声明的真实性负责。如有虚假，将依法承担相应责任。</w:t>
      </w:r>
    </w:p>
    <w:p>
      <w:pPr>
        <w:ind w:firstLine="420" w:firstLineChars="200"/>
        <w:rPr>
          <w:rFonts w:ascii="宋体" w:hAnsi="宋体"/>
          <w:szCs w:val="21"/>
        </w:rPr>
      </w:pP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企业名称：            </w:t>
      </w:r>
    </w:p>
    <w:p>
      <w:pPr>
        <w:wordWrap w:val="0"/>
        <w:ind w:firstLine="420" w:firstLineChars="200"/>
        <w:jc w:val="right"/>
        <w:rPr>
          <w:rFonts w:ascii="宋体" w:hAnsi="宋体"/>
          <w:szCs w:val="21"/>
        </w:rPr>
      </w:pPr>
      <w:r>
        <w:rPr>
          <w:rFonts w:hint="eastAsia" w:ascii="宋体" w:hAnsi="宋体"/>
          <w:szCs w:val="21"/>
        </w:rPr>
        <w:t xml:space="preserve">日  期：            </w:t>
      </w:r>
    </w:p>
    <w:p>
      <w:pPr>
        <w:rPr>
          <w:rFonts w:ascii="Calibri" w:hAnsi="Calibri"/>
        </w:rPr>
      </w:pPr>
    </w:p>
    <w:p>
      <w:pPr>
        <w:jc w:val="center"/>
        <w:outlineLvl w:val="3"/>
        <w:rPr>
          <w:b/>
          <w:sz w:val="24"/>
        </w:rPr>
      </w:pPr>
      <w:r>
        <w:rPr>
          <w:rFonts w:hint="eastAsia"/>
          <w:b/>
          <w:sz w:val="24"/>
        </w:rPr>
        <w:t>3、监狱企业声明函【服务类，监狱企业如需享受优惠政策，还须另行提供省级以上监狱管理局、戒毒管理局（含新疆生产建设兵团）出具的监狱企业证明文件】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本投标人郑重声明，根据《财政部司法部关于政府采购支持监狱企业发展有关问题的通知》（财库〔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号）的规定，本投标人</w:t>
      </w:r>
      <w:r>
        <w:rPr>
          <w:rFonts w:ascii="宋体" w:hAnsi="宋体"/>
          <w:szCs w:val="21"/>
        </w:rPr>
        <w:t>参加</w:t>
      </w:r>
      <w:r>
        <w:rPr>
          <w:rFonts w:ascii="宋体" w:hAnsi="宋体"/>
          <w:b/>
          <w:bCs/>
          <w:szCs w:val="21"/>
          <w:u w:val="single"/>
        </w:rPr>
        <w:t>（</w:t>
      </w:r>
      <w:r>
        <w:rPr>
          <w:rFonts w:hint="eastAsia" w:ascii="宋体" w:hAnsi="宋体"/>
          <w:b/>
          <w:bCs/>
          <w:szCs w:val="21"/>
          <w:u w:val="single"/>
        </w:rPr>
        <w:t>单位名称</w:t>
      </w:r>
      <w:r>
        <w:rPr>
          <w:rFonts w:ascii="宋体" w:hAnsi="宋体"/>
          <w:b/>
          <w:bCs/>
          <w:szCs w:val="21"/>
          <w:u w:val="single"/>
        </w:rPr>
        <w:t>）</w:t>
      </w:r>
      <w:r>
        <w:rPr>
          <w:rFonts w:ascii="宋体" w:hAnsi="宋体"/>
          <w:szCs w:val="21"/>
        </w:rPr>
        <w:t>的</w:t>
      </w:r>
      <w:r>
        <w:rPr>
          <w:rFonts w:ascii="宋体" w:hAnsi="宋体"/>
          <w:b/>
          <w:bCs/>
          <w:szCs w:val="21"/>
          <w:u w:val="single"/>
        </w:rPr>
        <w:t>（项目名称）</w:t>
      </w:r>
      <w:r>
        <w:rPr>
          <w:rFonts w:ascii="宋体" w:hAnsi="宋体"/>
          <w:szCs w:val="21"/>
        </w:rPr>
        <w:t>采购活动，</w:t>
      </w:r>
      <w:r>
        <w:rPr>
          <w:rFonts w:hint="eastAsia" w:ascii="宋体" w:hAnsi="宋体"/>
          <w:szCs w:val="21"/>
        </w:rPr>
        <w:t>提供的货物</w:t>
      </w:r>
      <w:r>
        <w:rPr>
          <w:rFonts w:ascii="宋体" w:hAnsi="宋体"/>
          <w:szCs w:val="21"/>
        </w:rPr>
        <w:t>全部由符合政策要求的</w:t>
      </w:r>
      <w:r>
        <w:rPr>
          <w:rFonts w:hint="eastAsia" w:ascii="宋体" w:hAnsi="宋体"/>
          <w:szCs w:val="21"/>
        </w:rPr>
        <w:t>监狱企业承接</w:t>
      </w:r>
      <w:r>
        <w:rPr>
          <w:rFonts w:ascii="宋体" w:hAnsi="宋体"/>
          <w:szCs w:val="21"/>
        </w:rPr>
        <w:t>。相关</w:t>
      </w:r>
      <w:r>
        <w:rPr>
          <w:rFonts w:hint="eastAsia" w:ascii="宋体" w:hAnsi="宋体"/>
          <w:szCs w:val="21"/>
        </w:rPr>
        <w:t>监狱企业</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，承接单位</w:t>
      </w:r>
      <w:r>
        <w:rPr>
          <w:rFonts w:ascii="宋体" w:hAnsi="宋体"/>
          <w:szCs w:val="21"/>
        </w:rPr>
        <w:t>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，承接单位</w:t>
      </w:r>
      <w:r>
        <w:rPr>
          <w:rFonts w:ascii="宋体" w:hAnsi="宋体"/>
          <w:szCs w:val="21"/>
        </w:rPr>
        <w:t>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hint="eastAsia" w:ascii="宋体" w:hAnsi="宋体"/>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szCs w:val="21"/>
        </w:rPr>
        <w:t>本</w:t>
      </w:r>
      <w:r>
        <w:rPr>
          <w:rFonts w:hint="eastAsia" w:ascii="宋体" w:hAnsi="宋体"/>
          <w:szCs w:val="21"/>
        </w:rPr>
        <w:t>投标人</w:t>
      </w:r>
      <w:r>
        <w:rPr>
          <w:rFonts w:ascii="宋体" w:hAnsi="宋体"/>
          <w:szCs w:val="21"/>
        </w:rPr>
        <w:t>对上述声明内容的真实性负责。如有虚假，将依法承担相应责任。</w:t>
      </w:r>
    </w:p>
    <w:p>
      <w:pPr>
        <w:ind w:firstLine="420" w:firstLineChars="200"/>
        <w:rPr>
          <w:b/>
          <w:sz w:val="24"/>
        </w:rPr>
      </w:pPr>
      <w:r>
        <w:rPr>
          <w:rFonts w:hint="eastAsia" w:ascii="宋体" w:hAnsi="宋体"/>
          <w:szCs w:val="21"/>
        </w:rPr>
        <w:t>附：省级以上监狱管理局、戒毒管理局（含新疆生产建设兵团）出具的监狱企业证明文件。</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企业名称：            </w:t>
      </w:r>
    </w:p>
    <w:p>
      <w:pPr>
        <w:wordWrap w:val="0"/>
        <w:ind w:firstLine="420" w:firstLineChars="200"/>
        <w:jc w:val="right"/>
        <w:rPr>
          <w:rFonts w:ascii="宋体" w:hAnsi="宋体"/>
          <w:szCs w:val="21"/>
        </w:rPr>
      </w:pPr>
      <w:r>
        <w:rPr>
          <w:rFonts w:hint="eastAsia" w:ascii="宋体" w:hAnsi="宋体"/>
          <w:szCs w:val="21"/>
        </w:rPr>
        <w:t xml:space="preserve">日  期：            </w:t>
      </w:r>
    </w:p>
    <w:bookmarkEnd w:id="63"/>
    <w:p>
      <w:pPr>
        <w:pStyle w:val="3"/>
        <w:jc w:val="center"/>
        <w:rPr>
          <w:rFonts w:ascii="黑体" w:eastAsia="黑体"/>
          <w:b w:val="0"/>
          <w:sz w:val="24"/>
          <w:szCs w:val="24"/>
        </w:rPr>
      </w:pPr>
      <w:bookmarkStart w:id="64" w:name="_Hlk72259976"/>
      <w:r>
        <w:rPr>
          <w:rFonts w:hint="eastAsia" w:ascii="黑体" w:eastAsia="黑体"/>
          <w:b w:val="0"/>
          <w:sz w:val="24"/>
          <w:szCs w:val="24"/>
        </w:rPr>
        <w:t>四、项目详细报价</w:t>
      </w:r>
    </w:p>
    <w:p>
      <w:pPr>
        <w:tabs>
          <w:tab w:val="left" w:pos="720"/>
        </w:tabs>
        <w:ind w:firstLine="3132" w:firstLineChars="1300"/>
        <w:rPr>
          <w:rFonts w:hint="eastAsia" w:ascii="宋体" w:hAnsi="宋体"/>
          <w:b/>
          <w:sz w:val="24"/>
        </w:rPr>
      </w:pPr>
      <w:r>
        <w:rPr>
          <w:rFonts w:hint="eastAsia"/>
          <w:b/>
          <w:sz w:val="24"/>
        </w:rPr>
        <w:t>（一）分项报价表</w:t>
      </w:r>
    </w:p>
    <w:tbl>
      <w:tblPr>
        <w:tblStyle w:val="43"/>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600"/>
        <w:gridCol w:w="1945"/>
        <w:gridCol w:w="1212"/>
        <w:gridCol w:w="674"/>
        <w:gridCol w:w="976"/>
        <w:gridCol w:w="558"/>
        <w:gridCol w:w="520"/>
        <w:gridCol w:w="469"/>
        <w:gridCol w:w="469"/>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26" w:type="dxa"/>
            <w:shd w:val="clear" w:color="auto" w:fill="FFFFFF"/>
            <w:vAlign w:val="center"/>
          </w:tcPr>
          <w:p>
            <w:r>
              <w:rPr>
                <w:rFonts w:hint="eastAsia"/>
                <w:lang w:bidi="ar"/>
              </w:rPr>
              <w:t>采购计划编号</w:t>
            </w:r>
          </w:p>
        </w:tc>
        <w:tc>
          <w:tcPr>
            <w:tcW w:w="600" w:type="dxa"/>
            <w:shd w:val="clear" w:color="auto" w:fill="FFFFFF"/>
            <w:noWrap/>
            <w:vAlign w:val="center"/>
          </w:tcPr>
          <w:p>
            <w:r>
              <w:rPr>
                <w:rFonts w:hint="eastAsia"/>
                <w:lang w:bidi="ar"/>
              </w:rPr>
              <w:t>序号</w:t>
            </w:r>
          </w:p>
        </w:tc>
        <w:tc>
          <w:tcPr>
            <w:tcW w:w="1945" w:type="dxa"/>
            <w:shd w:val="clear" w:color="auto" w:fill="FFFFFF"/>
            <w:vAlign w:val="center"/>
          </w:tcPr>
          <w:p>
            <w:r>
              <w:rPr>
                <w:rFonts w:hint="eastAsia"/>
                <w:lang w:bidi="ar"/>
              </w:rPr>
              <w:t>货物名称（标的名称）</w:t>
            </w:r>
          </w:p>
        </w:tc>
        <w:tc>
          <w:tcPr>
            <w:tcW w:w="1212" w:type="dxa"/>
            <w:shd w:val="clear" w:color="auto" w:fill="FFFFFF"/>
            <w:noWrap/>
            <w:vAlign w:val="center"/>
          </w:tcPr>
          <w:p>
            <w:pPr>
              <w:jc w:val="center"/>
              <w:rPr>
                <w:rFonts w:hint="eastAsia"/>
                <w:lang w:bidi="ar"/>
              </w:rPr>
            </w:pPr>
            <w:r>
              <w:rPr>
                <w:rFonts w:hint="eastAsia"/>
                <w:szCs w:val="21"/>
              </w:rPr>
              <w:t>规格/品牌/型号</w:t>
            </w:r>
          </w:p>
        </w:tc>
        <w:tc>
          <w:tcPr>
            <w:tcW w:w="674" w:type="dxa"/>
            <w:shd w:val="clear" w:color="auto" w:fill="FFFFFF"/>
            <w:noWrap/>
            <w:vAlign w:val="center"/>
          </w:tcPr>
          <w:p>
            <w:pPr>
              <w:jc w:val="center"/>
              <w:rPr>
                <w:rFonts w:hint="eastAsia"/>
                <w:lang w:bidi="ar"/>
              </w:rPr>
            </w:pPr>
            <w:r>
              <w:rPr>
                <w:rFonts w:hint="eastAsia"/>
                <w:b/>
                <w:color w:val="FF0000"/>
                <w:szCs w:val="21"/>
              </w:rPr>
              <w:t>原产地</w:t>
            </w:r>
          </w:p>
        </w:tc>
        <w:tc>
          <w:tcPr>
            <w:tcW w:w="976" w:type="dxa"/>
            <w:shd w:val="clear" w:color="auto" w:fill="FFFFFF"/>
            <w:noWrap/>
            <w:vAlign w:val="center"/>
          </w:tcPr>
          <w:p>
            <w:pPr>
              <w:jc w:val="center"/>
              <w:rPr>
                <w:rFonts w:hint="eastAsia"/>
                <w:lang w:bidi="ar"/>
              </w:rPr>
            </w:pPr>
            <w:r>
              <w:rPr>
                <w:rFonts w:hint="eastAsia"/>
                <w:szCs w:val="21"/>
              </w:rPr>
              <w:t>制造商名称</w:t>
            </w:r>
          </w:p>
        </w:tc>
        <w:tc>
          <w:tcPr>
            <w:tcW w:w="558" w:type="dxa"/>
            <w:shd w:val="clear" w:color="auto" w:fill="FFFFFF"/>
            <w:noWrap/>
            <w:vAlign w:val="center"/>
          </w:tcPr>
          <w:p>
            <w:r>
              <w:rPr>
                <w:rFonts w:hint="eastAsia"/>
                <w:lang w:bidi="ar"/>
              </w:rPr>
              <w:t>数量</w:t>
            </w:r>
          </w:p>
        </w:tc>
        <w:tc>
          <w:tcPr>
            <w:tcW w:w="520" w:type="dxa"/>
            <w:shd w:val="clear" w:color="auto" w:fill="FFFFFF"/>
            <w:noWrap/>
            <w:vAlign w:val="center"/>
          </w:tcPr>
          <w:p>
            <w:r>
              <w:rPr>
                <w:rFonts w:hint="eastAsia"/>
                <w:lang w:bidi="ar"/>
              </w:rPr>
              <w:t>单位</w:t>
            </w:r>
          </w:p>
        </w:tc>
        <w:tc>
          <w:tcPr>
            <w:tcW w:w="469" w:type="dxa"/>
            <w:shd w:val="clear" w:color="auto" w:fill="FFFFFF"/>
            <w:vAlign w:val="center"/>
          </w:tcPr>
          <w:p>
            <w:pPr>
              <w:jc w:val="center"/>
              <w:rPr>
                <w:rFonts w:hint="eastAsia"/>
                <w:lang w:bidi="ar"/>
              </w:rPr>
            </w:pPr>
            <w:r>
              <w:rPr>
                <w:rFonts w:hint="eastAsia"/>
                <w:szCs w:val="21"/>
              </w:rPr>
              <w:t>单价(元)</w:t>
            </w:r>
          </w:p>
        </w:tc>
        <w:tc>
          <w:tcPr>
            <w:tcW w:w="469" w:type="dxa"/>
            <w:shd w:val="clear" w:color="auto" w:fill="FFFFFF"/>
            <w:vAlign w:val="center"/>
          </w:tcPr>
          <w:p>
            <w:pPr>
              <w:jc w:val="center"/>
              <w:rPr>
                <w:rFonts w:hint="eastAsia"/>
                <w:lang w:bidi="ar"/>
              </w:rPr>
            </w:pPr>
            <w:r>
              <w:rPr>
                <w:rFonts w:hint="eastAsia"/>
                <w:szCs w:val="21"/>
              </w:rPr>
              <w:t>合价(元)</w:t>
            </w:r>
          </w:p>
        </w:tc>
        <w:tc>
          <w:tcPr>
            <w:tcW w:w="825" w:type="dxa"/>
            <w:shd w:val="clear" w:color="auto" w:fill="FFFFFF"/>
            <w:vAlign w:val="center"/>
          </w:tcPr>
          <w:p>
            <w:pPr>
              <w:rPr>
                <w:rFonts w:hint="eastAsia"/>
                <w:lang w:bidi="ar"/>
              </w:rPr>
            </w:pPr>
            <w:r>
              <w:rPr>
                <w:rFonts w:hint="eastAsia"/>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restart"/>
            <w:shd w:val="clear" w:color="auto" w:fill="FFFFFF"/>
            <w:noWrap/>
            <w:vAlign w:val="center"/>
          </w:tcPr>
          <w:p>
            <w:r>
              <w:t>PLAN-2024-440300000-128001-03747</w:t>
            </w:r>
          </w:p>
        </w:tc>
        <w:tc>
          <w:tcPr>
            <w:tcW w:w="7423" w:type="dxa"/>
            <w:gridSpan w:val="9"/>
            <w:shd w:val="clear" w:color="auto" w:fill="FFFFFF"/>
            <w:noWrap/>
            <w:vAlign w:val="center"/>
          </w:tcPr>
          <w:p>
            <w:pPr>
              <w:rPr>
                <w:rFonts w:hint="eastAsia"/>
                <w:lang w:bidi="ar"/>
              </w:rPr>
            </w:pPr>
            <w:r>
              <w:rPr>
                <w:rFonts w:hint="eastAsia"/>
                <w:lang w:bidi="ar"/>
              </w:rPr>
              <w:t>第一部分：智慧口岸运行指挥中心</w:t>
            </w:r>
          </w:p>
        </w:tc>
        <w:tc>
          <w:tcPr>
            <w:tcW w:w="825" w:type="dxa"/>
            <w:vMerge w:val="restart"/>
            <w:shd w:val="clear" w:color="auto" w:fill="FFFFFF"/>
            <w:vAlign w:val="center"/>
          </w:tcPr>
          <w:p>
            <w:pPr>
              <w:rPr>
                <w:rFonts w:hint="eastAsia"/>
                <w:lang w:bidi="ar"/>
              </w:rPr>
            </w:pPr>
            <w:r>
              <w:rPr>
                <w:rFonts w:hint="eastAsia"/>
                <w:lang w:bidi="ar"/>
              </w:rPr>
              <w:t>22791000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一</w:t>
            </w:r>
          </w:p>
        </w:tc>
        <w:tc>
          <w:tcPr>
            <w:tcW w:w="6823" w:type="dxa"/>
            <w:gridSpan w:val="8"/>
            <w:shd w:val="clear" w:color="auto" w:fill="FFFFFF"/>
            <w:vAlign w:val="center"/>
          </w:tcPr>
          <w:p>
            <w:pPr>
              <w:rPr>
                <w:rFonts w:hint="eastAsia"/>
                <w:lang w:bidi="ar"/>
              </w:rPr>
            </w:pPr>
            <w:r>
              <w:rPr>
                <w:rFonts w:hint="eastAsia"/>
                <w:lang w:bidi="ar"/>
              </w:rPr>
              <w:t>指挥大厅信息化系统</w:t>
            </w:r>
          </w:p>
        </w:tc>
        <w:tc>
          <w:tcPr>
            <w:tcW w:w="825" w:type="dxa"/>
            <w:vMerge w:val="continue"/>
            <w:tcBorders/>
            <w:shd w:val="clear" w:color="auto" w:fill="FFFFFF"/>
            <w:vAlign w:val="center"/>
          </w:tcPr>
          <w:p>
            <w:pPr>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r>
              <w:rPr>
                <w:lang w:bidi="ar"/>
              </w:rPr>
              <w:t>LED显示大屏系统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小间距LED显示屏</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80</w:t>
            </w:r>
          </w:p>
        </w:tc>
        <w:tc>
          <w:tcPr>
            <w:tcW w:w="520" w:type="dxa"/>
            <w:shd w:val="clear" w:color="auto" w:fill="FFFFFF"/>
            <w:vAlign w:val="center"/>
          </w:tcPr>
          <w:p>
            <w:r>
              <w:rPr>
                <w:lang w:bidi="ar"/>
              </w:rPr>
              <w:t>平方米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4K发送盒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6</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1.3</w:t>
            </w:r>
          </w:p>
        </w:tc>
        <w:tc>
          <w:tcPr>
            <w:tcW w:w="1945" w:type="dxa"/>
            <w:shd w:val="clear" w:color="auto" w:fill="auto"/>
            <w:vAlign w:val="center"/>
          </w:tcPr>
          <w:p>
            <w:r>
              <w:rPr>
                <w:lang w:bidi="ar"/>
              </w:rPr>
              <w:t>接收卡</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320</w:t>
            </w:r>
          </w:p>
        </w:tc>
        <w:tc>
          <w:tcPr>
            <w:tcW w:w="520" w:type="dxa"/>
            <w:shd w:val="clear" w:color="auto" w:fill="auto"/>
            <w:vAlign w:val="center"/>
          </w:tcPr>
          <w:p>
            <w:r>
              <w:rPr>
                <w:lang w:bidi="ar"/>
              </w:rPr>
              <w:t>张</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LED显示屏控制系统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配电箱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1.6</w:t>
            </w:r>
          </w:p>
        </w:tc>
        <w:tc>
          <w:tcPr>
            <w:tcW w:w="1945" w:type="dxa"/>
            <w:shd w:val="clear" w:color="auto" w:fill="FFFFFF"/>
            <w:vAlign w:val="center"/>
          </w:tcPr>
          <w:p>
            <w:r>
              <w:rPr>
                <w:lang w:bidi="ar"/>
              </w:rPr>
              <w:t>分线箱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1.7</w:t>
            </w:r>
          </w:p>
        </w:tc>
        <w:tc>
          <w:tcPr>
            <w:tcW w:w="1945" w:type="dxa"/>
            <w:shd w:val="clear" w:color="auto" w:fill="FFFFFF"/>
            <w:vAlign w:val="center"/>
          </w:tcPr>
          <w:p>
            <w:r>
              <w:rPr>
                <w:lang w:bidi="ar"/>
              </w:rPr>
              <w:t>主电缆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50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1.8</w:t>
            </w:r>
          </w:p>
        </w:tc>
        <w:tc>
          <w:tcPr>
            <w:tcW w:w="1945" w:type="dxa"/>
            <w:shd w:val="clear" w:color="auto" w:fill="FFFFFF"/>
            <w:vAlign w:val="center"/>
          </w:tcPr>
          <w:p>
            <w:r>
              <w:rPr>
                <w:lang w:bidi="ar"/>
              </w:rPr>
              <w:t>次电缆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100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1.9</w:t>
            </w:r>
          </w:p>
        </w:tc>
        <w:tc>
          <w:tcPr>
            <w:tcW w:w="1945" w:type="dxa"/>
            <w:shd w:val="clear" w:color="auto" w:fill="FFFFFF"/>
            <w:vAlign w:val="center"/>
          </w:tcPr>
          <w:p>
            <w:r>
              <w:rPr>
                <w:lang w:bidi="ar"/>
              </w:rPr>
              <w:t>动力线及信号线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 xml:space="preserve">1.10 </w:t>
            </w:r>
          </w:p>
        </w:tc>
        <w:tc>
          <w:tcPr>
            <w:tcW w:w="1945" w:type="dxa"/>
            <w:shd w:val="clear" w:color="auto" w:fill="FFFFFF"/>
            <w:vAlign w:val="center"/>
          </w:tcPr>
          <w:p>
            <w:r>
              <w:rPr>
                <w:lang w:bidi="ar"/>
              </w:rPr>
              <w:t>屏体结构</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80</w:t>
            </w:r>
          </w:p>
        </w:tc>
        <w:tc>
          <w:tcPr>
            <w:tcW w:w="520" w:type="dxa"/>
            <w:shd w:val="clear" w:color="auto" w:fill="FFFFFF"/>
            <w:vAlign w:val="center"/>
          </w:tcPr>
          <w:p>
            <w:r>
              <w:rPr>
                <w:lang w:bidi="ar"/>
              </w:rPr>
              <w:t>平方米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1.11</w:t>
            </w:r>
          </w:p>
        </w:tc>
        <w:tc>
          <w:tcPr>
            <w:tcW w:w="1945" w:type="dxa"/>
            <w:shd w:val="clear" w:color="auto" w:fill="FFFFFF"/>
            <w:vAlign w:val="center"/>
          </w:tcPr>
          <w:p>
            <w:r>
              <w:rPr>
                <w:lang w:bidi="ar"/>
              </w:rPr>
              <w:t>专业图形工作站</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音频扩声系统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左右线阵全频音箱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8</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左右线阵全频音箱功放</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线阵吊装配件支架1</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2.4</w:t>
            </w:r>
          </w:p>
        </w:tc>
        <w:tc>
          <w:tcPr>
            <w:tcW w:w="1945" w:type="dxa"/>
            <w:shd w:val="clear" w:color="auto" w:fill="FFFFFF"/>
            <w:vAlign w:val="center"/>
          </w:tcPr>
          <w:p>
            <w:r>
              <w:rPr>
                <w:lang w:bidi="ar"/>
              </w:rPr>
              <w:t>线阵吊装配件支架2</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2.5</w:t>
            </w:r>
          </w:p>
        </w:tc>
        <w:tc>
          <w:tcPr>
            <w:tcW w:w="1945" w:type="dxa"/>
            <w:shd w:val="clear" w:color="auto" w:fill="FFFFFF"/>
            <w:vAlign w:val="center"/>
          </w:tcPr>
          <w:p>
            <w:r>
              <w:rPr>
                <w:lang w:bidi="ar"/>
              </w:rPr>
              <w:t>返听音箱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2.6</w:t>
            </w:r>
          </w:p>
        </w:tc>
        <w:tc>
          <w:tcPr>
            <w:tcW w:w="1945" w:type="dxa"/>
            <w:shd w:val="clear" w:color="auto" w:fill="FFFFFF"/>
            <w:vAlign w:val="center"/>
          </w:tcPr>
          <w:p>
            <w:r>
              <w:rPr>
                <w:lang w:bidi="ar"/>
              </w:rPr>
              <w:t>返听音箱功放</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2.7</w:t>
            </w:r>
          </w:p>
        </w:tc>
        <w:tc>
          <w:tcPr>
            <w:tcW w:w="1945" w:type="dxa"/>
            <w:shd w:val="clear" w:color="auto" w:fill="FFFFFF"/>
            <w:vAlign w:val="center"/>
          </w:tcPr>
          <w:p>
            <w:r>
              <w:rPr>
                <w:lang w:bidi="ar"/>
              </w:rPr>
              <w:t>辅助扩声音箱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2.8</w:t>
            </w:r>
          </w:p>
        </w:tc>
        <w:tc>
          <w:tcPr>
            <w:tcW w:w="1945" w:type="dxa"/>
            <w:shd w:val="clear" w:color="auto" w:fill="FFFFFF"/>
            <w:vAlign w:val="center"/>
          </w:tcPr>
          <w:p>
            <w:r>
              <w:rPr>
                <w:lang w:bidi="ar"/>
              </w:rPr>
              <w:t>辅助扩声音箱功放</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2.9</w:t>
            </w:r>
          </w:p>
        </w:tc>
        <w:tc>
          <w:tcPr>
            <w:tcW w:w="1945" w:type="dxa"/>
            <w:shd w:val="clear" w:color="auto" w:fill="auto"/>
            <w:vAlign w:val="center"/>
          </w:tcPr>
          <w:p>
            <w:r>
              <w:rPr>
                <w:lang w:bidi="ar"/>
              </w:rPr>
              <w:t>音频处理器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 xml:space="preserve">2.10 </w:t>
            </w:r>
          </w:p>
        </w:tc>
        <w:tc>
          <w:tcPr>
            <w:tcW w:w="1945" w:type="dxa"/>
            <w:shd w:val="clear" w:color="auto" w:fill="FFFFFF"/>
            <w:vAlign w:val="center"/>
          </w:tcPr>
          <w:p>
            <w:r>
              <w:rPr>
                <w:lang w:bidi="ar"/>
              </w:rPr>
              <w:t>数字调音台</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2.11</w:t>
            </w:r>
          </w:p>
        </w:tc>
        <w:tc>
          <w:tcPr>
            <w:tcW w:w="1945" w:type="dxa"/>
            <w:shd w:val="clear" w:color="auto" w:fill="FFFFFF"/>
            <w:vAlign w:val="center"/>
          </w:tcPr>
          <w:p>
            <w:r>
              <w:rPr>
                <w:lang w:bidi="ar"/>
              </w:rPr>
              <w:t>有源监听音箱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2.12</w:t>
            </w:r>
          </w:p>
        </w:tc>
        <w:tc>
          <w:tcPr>
            <w:tcW w:w="1945" w:type="dxa"/>
            <w:shd w:val="clear" w:color="auto" w:fill="FFFFFF"/>
            <w:vAlign w:val="center"/>
          </w:tcPr>
          <w:p>
            <w:r>
              <w:rPr>
                <w:lang w:bidi="ar"/>
              </w:rPr>
              <w:t>无线话筒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2.13</w:t>
            </w:r>
          </w:p>
        </w:tc>
        <w:tc>
          <w:tcPr>
            <w:tcW w:w="1945" w:type="dxa"/>
            <w:shd w:val="clear" w:color="auto" w:fill="FFFFFF"/>
            <w:vAlign w:val="center"/>
          </w:tcPr>
          <w:p>
            <w:r>
              <w:rPr>
                <w:lang w:bidi="ar"/>
              </w:rPr>
              <w:t>无线话筒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2.14</w:t>
            </w:r>
          </w:p>
        </w:tc>
        <w:tc>
          <w:tcPr>
            <w:tcW w:w="1945" w:type="dxa"/>
            <w:shd w:val="clear" w:color="auto" w:fill="FFFFFF"/>
            <w:vAlign w:val="center"/>
          </w:tcPr>
          <w:p>
            <w:r>
              <w:rPr>
                <w:lang w:bidi="ar"/>
              </w:rPr>
              <w:t>天线分配器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2.15</w:t>
            </w:r>
          </w:p>
        </w:tc>
        <w:tc>
          <w:tcPr>
            <w:tcW w:w="1945" w:type="dxa"/>
            <w:shd w:val="clear" w:color="auto" w:fill="FFFFFF"/>
            <w:vAlign w:val="center"/>
          </w:tcPr>
          <w:p>
            <w:r>
              <w:rPr>
                <w:lang w:bidi="ar"/>
              </w:rPr>
              <w:t>话筒天线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2.16</w:t>
            </w:r>
          </w:p>
        </w:tc>
        <w:tc>
          <w:tcPr>
            <w:tcW w:w="1945" w:type="dxa"/>
            <w:shd w:val="clear" w:color="auto" w:fill="FFFFFF"/>
            <w:vAlign w:val="center"/>
          </w:tcPr>
          <w:p>
            <w:r>
              <w:rPr>
                <w:lang w:bidi="ar"/>
              </w:rPr>
              <w:t>放大器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2.17</w:t>
            </w:r>
          </w:p>
        </w:tc>
        <w:tc>
          <w:tcPr>
            <w:tcW w:w="1945" w:type="dxa"/>
            <w:shd w:val="clear" w:color="auto" w:fill="FFFFFF"/>
            <w:vAlign w:val="center"/>
          </w:tcPr>
          <w:p>
            <w:r>
              <w:rPr>
                <w:lang w:bidi="ar"/>
              </w:rPr>
              <w:t>分线盒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2.18</w:t>
            </w:r>
          </w:p>
        </w:tc>
        <w:tc>
          <w:tcPr>
            <w:tcW w:w="1945" w:type="dxa"/>
            <w:shd w:val="clear" w:color="auto" w:fill="FFFFFF"/>
            <w:vAlign w:val="center"/>
          </w:tcPr>
          <w:p>
            <w:r>
              <w:rPr>
                <w:lang w:bidi="ar"/>
              </w:rPr>
              <w:t>线材</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2.19</w:t>
            </w:r>
          </w:p>
        </w:tc>
        <w:tc>
          <w:tcPr>
            <w:tcW w:w="1945" w:type="dxa"/>
            <w:shd w:val="clear" w:color="auto" w:fill="FFFFFF"/>
            <w:vAlign w:val="center"/>
          </w:tcPr>
          <w:p>
            <w:r>
              <w:rPr>
                <w:lang w:bidi="ar"/>
              </w:rPr>
              <w:t>抑制器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光纤分布式智控协作平台</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分布式综合控制管理软件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3.2</w:t>
            </w:r>
          </w:p>
        </w:tc>
        <w:tc>
          <w:tcPr>
            <w:tcW w:w="1945" w:type="dxa"/>
            <w:shd w:val="clear" w:color="auto" w:fill="FFFFFF"/>
            <w:vAlign w:val="center"/>
          </w:tcPr>
          <w:p>
            <w:r>
              <w:rPr>
                <w:lang w:bidi="ar"/>
              </w:rPr>
              <w:t>移动端可视化控制系统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3.3</w:t>
            </w:r>
          </w:p>
        </w:tc>
        <w:tc>
          <w:tcPr>
            <w:tcW w:w="1945" w:type="dxa"/>
            <w:shd w:val="clear" w:color="auto" w:fill="FFFFFF"/>
            <w:vAlign w:val="center"/>
          </w:tcPr>
          <w:p>
            <w:r>
              <w:rPr>
                <w:lang w:bidi="ar"/>
              </w:rPr>
              <w:t>双路4K输入节点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30</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3.4</w:t>
            </w:r>
          </w:p>
        </w:tc>
        <w:tc>
          <w:tcPr>
            <w:tcW w:w="1945" w:type="dxa"/>
            <w:shd w:val="clear" w:color="auto" w:fill="FFFFFF"/>
            <w:vAlign w:val="center"/>
          </w:tcPr>
          <w:p>
            <w:r>
              <w:rPr>
                <w:lang w:bidi="ar"/>
              </w:rPr>
              <w:t>双路4K输出节点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26</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3.5</w:t>
            </w:r>
          </w:p>
        </w:tc>
        <w:tc>
          <w:tcPr>
            <w:tcW w:w="1945" w:type="dxa"/>
            <w:shd w:val="clear" w:color="auto" w:fill="FFFFFF"/>
            <w:vAlign w:val="center"/>
          </w:tcPr>
          <w:p>
            <w:r>
              <w:rPr>
                <w:lang w:bidi="ar"/>
              </w:rPr>
              <w:t>光纤拼控卡</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10</w:t>
            </w:r>
          </w:p>
        </w:tc>
        <w:tc>
          <w:tcPr>
            <w:tcW w:w="520" w:type="dxa"/>
            <w:shd w:val="clear" w:color="auto" w:fill="FFFFFF"/>
            <w:vAlign w:val="center"/>
          </w:tcPr>
          <w:p>
            <w:r>
              <w:rPr>
                <w:lang w:bidi="ar"/>
              </w:rPr>
              <w:t>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3.6</w:t>
            </w:r>
          </w:p>
        </w:tc>
        <w:tc>
          <w:tcPr>
            <w:tcW w:w="1945" w:type="dxa"/>
            <w:shd w:val="clear" w:color="auto" w:fill="FFFFFF"/>
            <w:vAlign w:val="center"/>
          </w:tcPr>
          <w:p>
            <w:r>
              <w:rPr>
                <w:lang w:bidi="ar"/>
              </w:rPr>
              <w:t>HDMI拼接输出卡</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8</w:t>
            </w:r>
          </w:p>
        </w:tc>
        <w:tc>
          <w:tcPr>
            <w:tcW w:w="520" w:type="dxa"/>
            <w:shd w:val="clear" w:color="auto" w:fill="FFFFFF"/>
            <w:vAlign w:val="center"/>
          </w:tcPr>
          <w:p>
            <w:r>
              <w:rPr>
                <w:lang w:bidi="ar"/>
              </w:rPr>
              <w:t>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3.7</w:t>
            </w:r>
          </w:p>
        </w:tc>
        <w:tc>
          <w:tcPr>
            <w:tcW w:w="1945" w:type="dxa"/>
            <w:shd w:val="clear" w:color="auto" w:fill="FFFFFF"/>
            <w:vAlign w:val="center"/>
          </w:tcPr>
          <w:p>
            <w:r>
              <w:rPr>
                <w:lang w:bidi="ar"/>
              </w:rPr>
              <w:t>可视化运维节点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3.8</w:t>
            </w:r>
          </w:p>
        </w:tc>
        <w:tc>
          <w:tcPr>
            <w:tcW w:w="1945" w:type="dxa"/>
            <w:shd w:val="clear" w:color="auto" w:fill="FFFFFF"/>
            <w:vAlign w:val="center"/>
          </w:tcPr>
          <w:p>
            <w:r>
              <w:rPr>
                <w:lang w:bidi="ar"/>
              </w:rPr>
              <w:t>主链路接入交换机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3.9</w:t>
            </w:r>
          </w:p>
        </w:tc>
        <w:tc>
          <w:tcPr>
            <w:tcW w:w="1945" w:type="dxa"/>
            <w:shd w:val="clear" w:color="auto" w:fill="FFFFFF"/>
            <w:vAlign w:val="center"/>
          </w:tcPr>
          <w:p>
            <w:r>
              <w:rPr>
                <w:lang w:bidi="ar"/>
              </w:rPr>
              <w:t>主链路万兆光模块</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96</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 xml:space="preserve">3.10 </w:t>
            </w:r>
          </w:p>
        </w:tc>
        <w:tc>
          <w:tcPr>
            <w:tcW w:w="1945" w:type="dxa"/>
            <w:shd w:val="clear" w:color="auto" w:fill="FFFFFF"/>
            <w:vAlign w:val="center"/>
          </w:tcPr>
          <w:p>
            <w:r>
              <w:rPr>
                <w:lang w:bidi="ar"/>
              </w:rPr>
              <w:t>冗余备链路接入交换机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3.11</w:t>
            </w:r>
          </w:p>
        </w:tc>
        <w:tc>
          <w:tcPr>
            <w:tcW w:w="1945" w:type="dxa"/>
            <w:shd w:val="clear" w:color="auto" w:fill="FFFFFF"/>
            <w:vAlign w:val="center"/>
          </w:tcPr>
          <w:p>
            <w:r>
              <w:rPr>
                <w:lang w:bidi="ar"/>
              </w:rPr>
              <w:t>冗余备链路万兆光模块</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96</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3.12</w:t>
            </w:r>
          </w:p>
        </w:tc>
        <w:tc>
          <w:tcPr>
            <w:tcW w:w="1945" w:type="dxa"/>
            <w:shd w:val="clear" w:color="auto" w:fill="FFFFFF"/>
            <w:vAlign w:val="center"/>
          </w:tcPr>
          <w:p>
            <w:r>
              <w:rPr>
                <w:lang w:bidi="ar"/>
              </w:rPr>
              <w:t>100G AOC有源光缆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14</w:t>
            </w:r>
          </w:p>
        </w:tc>
        <w:tc>
          <w:tcPr>
            <w:tcW w:w="520" w:type="dxa"/>
            <w:shd w:val="clear" w:color="auto" w:fill="FFFFFF"/>
            <w:vAlign w:val="center"/>
          </w:tcPr>
          <w:p>
            <w:r>
              <w:rPr>
                <w:lang w:bidi="ar"/>
              </w:rPr>
              <w:t>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3.13</w:t>
            </w:r>
          </w:p>
        </w:tc>
        <w:tc>
          <w:tcPr>
            <w:tcW w:w="1945" w:type="dxa"/>
            <w:shd w:val="clear" w:color="auto" w:fill="FFFFFF"/>
            <w:vAlign w:val="center"/>
          </w:tcPr>
          <w:p>
            <w:r>
              <w:rPr>
                <w:lang w:bidi="ar"/>
              </w:rPr>
              <w:t>千兆光转电模块</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3.14</w:t>
            </w:r>
          </w:p>
        </w:tc>
        <w:tc>
          <w:tcPr>
            <w:tcW w:w="1945" w:type="dxa"/>
            <w:shd w:val="clear" w:color="auto" w:fill="FFFFFF"/>
            <w:vAlign w:val="center"/>
          </w:tcPr>
          <w:p>
            <w:r>
              <w:rPr>
                <w:lang w:bidi="ar"/>
              </w:rPr>
              <w:t>中控节点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3.15</w:t>
            </w:r>
          </w:p>
        </w:tc>
        <w:tc>
          <w:tcPr>
            <w:tcW w:w="1945" w:type="dxa"/>
            <w:shd w:val="clear" w:color="auto" w:fill="FFFFFF"/>
            <w:vAlign w:val="center"/>
          </w:tcPr>
          <w:p>
            <w:r>
              <w:rPr>
                <w:lang w:bidi="ar"/>
              </w:rPr>
              <w:t>电源控制器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3.16</w:t>
            </w:r>
          </w:p>
        </w:tc>
        <w:tc>
          <w:tcPr>
            <w:tcW w:w="1945" w:type="dxa"/>
            <w:shd w:val="clear" w:color="auto" w:fill="FFFFFF"/>
            <w:vAlign w:val="center"/>
          </w:tcPr>
          <w:p>
            <w:r>
              <w:rPr>
                <w:lang w:bidi="ar"/>
              </w:rPr>
              <w:t>操控终端</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3.17</w:t>
            </w:r>
          </w:p>
        </w:tc>
        <w:tc>
          <w:tcPr>
            <w:tcW w:w="1945" w:type="dxa"/>
            <w:shd w:val="clear" w:color="auto" w:fill="FFFFFF"/>
            <w:vAlign w:val="center"/>
          </w:tcPr>
          <w:p>
            <w:r>
              <w:rPr>
                <w:lang w:bidi="ar"/>
              </w:rPr>
              <w:t>线材及其他</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远程视频会议系统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会议管理平台</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视频调度录制平台</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4.3</w:t>
            </w:r>
          </w:p>
        </w:tc>
        <w:tc>
          <w:tcPr>
            <w:tcW w:w="1945" w:type="dxa"/>
            <w:shd w:val="clear" w:color="auto" w:fill="FFFFFF"/>
            <w:vAlign w:val="center"/>
          </w:tcPr>
          <w:p>
            <w:r>
              <w:rPr>
                <w:lang w:bidi="ar"/>
              </w:rPr>
              <w:t>多点控制单元MCU</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4.4</w:t>
            </w:r>
          </w:p>
        </w:tc>
        <w:tc>
          <w:tcPr>
            <w:tcW w:w="1945" w:type="dxa"/>
            <w:shd w:val="clear" w:color="auto" w:fill="FFFFFF"/>
            <w:vAlign w:val="center"/>
          </w:tcPr>
          <w:p>
            <w:r>
              <w:rPr>
                <w:lang w:bidi="ar"/>
              </w:rPr>
              <w:t>VDC服务器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4.5</w:t>
            </w:r>
          </w:p>
        </w:tc>
        <w:tc>
          <w:tcPr>
            <w:tcW w:w="1945" w:type="dxa"/>
            <w:shd w:val="clear" w:color="auto" w:fill="FFFFFF"/>
            <w:vAlign w:val="center"/>
          </w:tcPr>
          <w:p>
            <w:r>
              <w:rPr>
                <w:lang w:bidi="ar"/>
              </w:rPr>
              <w:t>高清会议终端</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4.6</w:t>
            </w:r>
          </w:p>
        </w:tc>
        <w:tc>
          <w:tcPr>
            <w:tcW w:w="1945" w:type="dxa"/>
            <w:shd w:val="clear" w:color="auto" w:fill="FFFFFF"/>
            <w:vAlign w:val="center"/>
          </w:tcPr>
          <w:p>
            <w:r>
              <w:rPr>
                <w:lang w:bidi="ar"/>
              </w:rPr>
              <w:t>高清一体摄像机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4.7</w:t>
            </w:r>
          </w:p>
        </w:tc>
        <w:tc>
          <w:tcPr>
            <w:tcW w:w="1945" w:type="dxa"/>
            <w:shd w:val="clear" w:color="auto" w:fill="FFFFFF"/>
            <w:vAlign w:val="center"/>
          </w:tcPr>
          <w:p>
            <w:r>
              <w:rPr>
                <w:lang w:bidi="ar"/>
              </w:rPr>
              <w:t>阵列麦克风</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4.8</w:t>
            </w:r>
          </w:p>
        </w:tc>
        <w:tc>
          <w:tcPr>
            <w:tcW w:w="1945" w:type="dxa"/>
            <w:shd w:val="clear" w:color="auto" w:fill="FFFFFF"/>
            <w:vAlign w:val="center"/>
          </w:tcPr>
          <w:p>
            <w:r>
              <w:rPr>
                <w:lang w:bidi="ar"/>
              </w:rPr>
              <w:t>线材及其他</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6823" w:type="dxa"/>
            <w:gridSpan w:val="8"/>
            <w:shd w:val="clear" w:color="auto" w:fill="FFFFFF"/>
            <w:vAlign w:val="center"/>
          </w:tcPr>
          <w:p>
            <w:r>
              <w:rPr>
                <w:lang w:bidi="ar"/>
              </w:rPr>
              <w:t>数字会议发言系统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5.1</w:t>
            </w:r>
          </w:p>
        </w:tc>
        <w:tc>
          <w:tcPr>
            <w:tcW w:w="1945" w:type="dxa"/>
            <w:shd w:val="clear" w:color="auto" w:fill="FFFFFF"/>
            <w:vAlign w:val="center"/>
          </w:tcPr>
          <w:p>
            <w:r>
              <w:rPr>
                <w:lang w:bidi="ar"/>
              </w:rPr>
              <w:t>会议系统主机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5.2</w:t>
            </w:r>
          </w:p>
        </w:tc>
        <w:tc>
          <w:tcPr>
            <w:tcW w:w="1945" w:type="dxa"/>
            <w:shd w:val="clear" w:color="auto" w:fill="FFFFFF"/>
            <w:vAlign w:val="center"/>
          </w:tcPr>
          <w:p>
            <w:r>
              <w:rPr>
                <w:lang w:bidi="ar"/>
              </w:rPr>
              <w:t>会议主席单元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5.3</w:t>
            </w:r>
          </w:p>
        </w:tc>
        <w:tc>
          <w:tcPr>
            <w:tcW w:w="1945" w:type="dxa"/>
            <w:shd w:val="clear" w:color="auto" w:fill="FFFFFF"/>
            <w:vAlign w:val="center"/>
          </w:tcPr>
          <w:p>
            <w:r>
              <w:rPr>
                <w:lang w:bidi="ar"/>
              </w:rPr>
              <w:t>会议代表单元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5.4</w:t>
            </w:r>
          </w:p>
        </w:tc>
        <w:tc>
          <w:tcPr>
            <w:tcW w:w="1945" w:type="dxa"/>
            <w:shd w:val="clear" w:color="auto" w:fill="FFFFFF"/>
            <w:vAlign w:val="center"/>
          </w:tcPr>
          <w:p>
            <w:r>
              <w:rPr>
                <w:lang w:bidi="ar"/>
              </w:rPr>
              <w:t>无线接入点和收发器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5.5</w:t>
            </w:r>
          </w:p>
        </w:tc>
        <w:tc>
          <w:tcPr>
            <w:tcW w:w="1945" w:type="dxa"/>
            <w:shd w:val="clear" w:color="auto" w:fill="FFFFFF"/>
            <w:vAlign w:val="center"/>
          </w:tcPr>
          <w:p>
            <w:r>
              <w:rPr>
                <w:lang w:bidi="ar"/>
              </w:rPr>
              <w:t>耗材及其他</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6</w:t>
            </w:r>
          </w:p>
        </w:tc>
        <w:tc>
          <w:tcPr>
            <w:tcW w:w="6823" w:type="dxa"/>
            <w:gridSpan w:val="8"/>
            <w:shd w:val="clear" w:color="auto" w:fill="FFFFFF"/>
            <w:vAlign w:val="center"/>
          </w:tcPr>
          <w:p>
            <w:r>
              <w:rPr>
                <w:lang w:bidi="ar"/>
              </w:rPr>
              <w:t>专业坐席桌椅</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6.1</w:t>
            </w:r>
          </w:p>
        </w:tc>
        <w:tc>
          <w:tcPr>
            <w:tcW w:w="1945" w:type="dxa"/>
            <w:shd w:val="clear" w:color="auto" w:fill="FFFFFF"/>
            <w:vAlign w:val="center"/>
          </w:tcPr>
          <w:p>
            <w:r>
              <w:rPr>
                <w:lang w:bidi="ar"/>
              </w:rPr>
              <w:t>坐席控制台</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张</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6.2</w:t>
            </w:r>
          </w:p>
        </w:tc>
        <w:tc>
          <w:tcPr>
            <w:tcW w:w="1945" w:type="dxa"/>
            <w:shd w:val="clear" w:color="auto" w:fill="FFFFFF"/>
            <w:vAlign w:val="center"/>
          </w:tcPr>
          <w:p>
            <w:r>
              <w:rPr>
                <w:lang w:bidi="ar"/>
              </w:rPr>
              <w:t>人体工学操作椅</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22</w:t>
            </w:r>
          </w:p>
        </w:tc>
        <w:tc>
          <w:tcPr>
            <w:tcW w:w="520" w:type="dxa"/>
            <w:shd w:val="clear" w:color="auto" w:fill="FFFFFF"/>
            <w:vAlign w:val="center"/>
          </w:tcPr>
          <w:p>
            <w:r>
              <w:rPr>
                <w:lang w:bidi="ar"/>
              </w:rPr>
              <w:t>张</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6.3</w:t>
            </w:r>
          </w:p>
        </w:tc>
        <w:tc>
          <w:tcPr>
            <w:tcW w:w="1945" w:type="dxa"/>
            <w:shd w:val="clear" w:color="auto" w:fill="FFFFFF"/>
            <w:vAlign w:val="center"/>
          </w:tcPr>
          <w:p>
            <w:r>
              <w:rPr>
                <w:lang w:bidi="ar"/>
              </w:rPr>
              <w:t>单层显示器支臂</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6.4</w:t>
            </w:r>
          </w:p>
        </w:tc>
        <w:tc>
          <w:tcPr>
            <w:tcW w:w="1945" w:type="dxa"/>
            <w:shd w:val="clear" w:color="auto" w:fill="FFFFFF"/>
            <w:vAlign w:val="center"/>
          </w:tcPr>
          <w:p>
            <w:r>
              <w:rPr>
                <w:lang w:bidi="ar"/>
              </w:rPr>
              <w:t>单层键盘托盘</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pPr>
              <w:rPr>
                <w:lang w:bidi="ar"/>
              </w:rPr>
            </w:pPr>
            <w:r>
              <w:rPr>
                <w:rFonts w:hint="eastAsia"/>
                <w:lang w:bidi="ar"/>
              </w:rPr>
              <w:t>二</w:t>
            </w:r>
          </w:p>
        </w:tc>
        <w:tc>
          <w:tcPr>
            <w:tcW w:w="6823" w:type="dxa"/>
            <w:gridSpan w:val="8"/>
            <w:shd w:val="clear" w:color="auto" w:fill="FFFFFF"/>
            <w:vAlign w:val="center"/>
          </w:tcPr>
          <w:p>
            <w:r>
              <w:rPr>
                <w:rFonts w:hint="eastAsia"/>
                <w:lang w:bidi="ar"/>
              </w:rPr>
              <w:t>决策室</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r>
              <w:rPr>
                <w:lang w:bidi="ar"/>
              </w:rPr>
              <w:t>LED显示大屏系统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小间距LED显示屏</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12.96</w:t>
            </w:r>
          </w:p>
        </w:tc>
        <w:tc>
          <w:tcPr>
            <w:tcW w:w="520" w:type="dxa"/>
            <w:shd w:val="clear" w:color="auto" w:fill="FFFFFF"/>
            <w:vAlign w:val="center"/>
          </w:tcPr>
          <w:p>
            <w:r>
              <w:rPr>
                <w:lang w:bidi="ar"/>
              </w:rPr>
              <w:t>平方米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4K发送盒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接收卡</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32</w:t>
            </w:r>
          </w:p>
        </w:tc>
        <w:tc>
          <w:tcPr>
            <w:tcW w:w="520" w:type="dxa"/>
            <w:shd w:val="clear" w:color="auto" w:fill="FFFFFF"/>
            <w:vAlign w:val="center"/>
          </w:tcPr>
          <w:p>
            <w:r>
              <w:rPr>
                <w:lang w:bidi="ar"/>
              </w:rPr>
              <w:t>张</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LED显示屏控制系统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万兆交换机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1.6</w:t>
            </w:r>
          </w:p>
        </w:tc>
        <w:tc>
          <w:tcPr>
            <w:tcW w:w="1945" w:type="dxa"/>
            <w:shd w:val="clear" w:color="auto" w:fill="FFFFFF"/>
            <w:vAlign w:val="center"/>
          </w:tcPr>
          <w:p>
            <w:r>
              <w:rPr>
                <w:lang w:bidi="ar"/>
              </w:rPr>
              <w:t>双路4K输入节点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1.7</w:t>
            </w:r>
          </w:p>
        </w:tc>
        <w:tc>
          <w:tcPr>
            <w:tcW w:w="1945" w:type="dxa"/>
            <w:shd w:val="clear" w:color="auto" w:fill="FFFFFF"/>
            <w:vAlign w:val="center"/>
          </w:tcPr>
          <w:p>
            <w:r>
              <w:rPr>
                <w:lang w:bidi="ar"/>
              </w:rPr>
              <w:t>双路4K输出节点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1.8</w:t>
            </w:r>
          </w:p>
        </w:tc>
        <w:tc>
          <w:tcPr>
            <w:tcW w:w="1945" w:type="dxa"/>
            <w:shd w:val="clear" w:color="auto" w:fill="FFFFFF"/>
            <w:vAlign w:val="center"/>
          </w:tcPr>
          <w:p>
            <w:r>
              <w:rPr>
                <w:lang w:bidi="ar"/>
              </w:rPr>
              <w:t>配电箱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1.9</w:t>
            </w:r>
          </w:p>
        </w:tc>
        <w:tc>
          <w:tcPr>
            <w:tcW w:w="1945" w:type="dxa"/>
            <w:shd w:val="clear" w:color="auto" w:fill="FFFFFF"/>
            <w:vAlign w:val="center"/>
          </w:tcPr>
          <w:p>
            <w:r>
              <w:rPr>
                <w:lang w:bidi="ar"/>
              </w:rPr>
              <w:t>结构工程</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12.96</w:t>
            </w:r>
          </w:p>
        </w:tc>
        <w:tc>
          <w:tcPr>
            <w:tcW w:w="520" w:type="dxa"/>
            <w:shd w:val="clear" w:color="auto" w:fill="FFFFFF"/>
            <w:vAlign w:val="center"/>
          </w:tcPr>
          <w:p>
            <w:r>
              <w:rPr>
                <w:lang w:bidi="ar"/>
              </w:rPr>
              <w:t>平方米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 xml:space="preserve">1.10 </w:t>
            </w:r>
          </w:p>
        </w:tc>
        <w:tc>
          <w:tcPr>
            <w:tcW w:w="1945" w:type="dxa"/>
            <w:shd w:val="clear" w:color="auto" w:fill="FFFFFF"/>
            <w:vAlign w:val="center"/>
          </w:tcPr>
          <w:p>
            <w:r>
              <w:rPr>
                <w:lang w:bidi="ar"/>
              </w:rPr>
              <w:t>次电缆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200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1.11</w:t>
            </w:r>
          </w:p>
        </w:tc>
        <w:tc>
          <w:tcPr>
            <w:tcW w:w="1945" w:type="dxa"/>
            <w:shd w:val="clear" w:color="auto" w:fill="FFFFFF"/>
            <w:vAlign w:val="center"/>
          </w:tcPr>
          <w:p>
            <w:r>
              <w:rPr>
                <w:lang w:bidi="ar"/>
              </w:rPr>
              <w:t>电线电缆及其他辅材</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1.12</w:t>
            </w:r>
          </w:p>
        </w:tc>
        <w:tc>
          <w:tcPr>
            <w:tcW w:w="1945" w:type="dxa"/>
            <w:shd w:val="clear" w:color="auto" w:fill="FFFFFF"/>
            <w:vAlign w:val="center"/>
          </w:tcPr>
          <w:p>
            <w:r>
              <w:rPr>
                <w:lang w:bidi="ar"/>
              </w:rPr>
              <w:t>86寸智慧屏一体机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1.13</w:t>
            </w:r>
          </w:p>
        </w:tc>
        <w:tc>
          <w:tcPr>
            <w:tcW w:w="1945" w:type="dxa"/>
            <w:shd w:val="clear" w:color="auto" w:fill="FFFFFF"/>
            <w:vAlign w:val="center"/>
          </w:tcPr>
          <w:p>
            <w:r>
              <w:rPr>
                <w:lang w:bidi="ar"/>
              </w:rPr>
              <w:t>专业图形工作站</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扩声系统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数字调音台</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音频处理器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专业功放</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2.4</w:t>
            </w:r>
          </w:p>
        </w:tc>
        <w:tc>
          <w:tcPr>
            <w:tcW w:w="1945" w:type="dxa"/>
            <w:shd w:val="clear" w:color="auto" w:fill="FFFFFF"/>
            <w:vAlign w:val="center"/>
          </w:tcPr>
          <w:p>
            <w:r>
              <w:rPr>
                <w:lang w:bidi="ar"/>
              </w:rPr>
              <w:t>专业音箱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2.5</w:t>
            </w:r>
          </w:p>
        </w:tc>
        <w:tc>
          <w:tcPr>
            <w:tcW w:w="1945" w:type="dxa"/>
            <w:shd w:val="clear" w:color="auto" w:fill="FFFFFF"/>
            <w:vAlign w:val="center"/>
          </w:tcPr>
          <w:p>
            <w:r>
              <w:rPr>
                <w:lang w:bidi="ar"/>
              </w:rPr>
              <w:t>支架1</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2.6</w:t>
            </w:r>
          </w:p>
        </w:tc>
        <w:tc>
          <w:tcPr>
            <w:tcW w:w="1945" w:type="dxa"/>
            <w:shd w:val="clear" w:color="auto" w:fill="FFFFFF"/>
            <w:vAlign w:val="center"/>
          </w:tcPr>
          <w:p>
            <w:r>
              <w:rPr>
                <w:lang w:bidi="ar"/>
              </w:rPr>
              <w:t>支架2</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2.7</w:t>
            </w:r>
          </w:p>
        </w:tc>
        <w:tc>
          <w:tcPr>
            <w:tcW w:w="1945" w:type="dxa"/>
            <w:shd w:val="clear" w:color="auto" w:fill="FFFFFF"/>
            <w:vAlign w:val="center"/>
          </w:tcPr>
          <w:p>
            <w:r>
              <w:rPr>
                <w:lang w:bidi="ar"/>
              </w:rPr>
              <w:t>无线话筒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2.8</w:t>
            </w:r>
          </w:p>
        </w:tc>
        <w:tc>
          <w:tcPr>
            <w:tcW w:w="1945" w:type="dxa"/>
            <w:shd w:val="clear" w:color="auto" w:fill="FFFFFF"/>
            <w:vAlign w:val="center"/>
          </w:tcPr>
          <w:p>
            <w:r>
              <w:rPr>
                <w:lang w:bidi="ar"/>
              </w:rPr>
              <w:t>话筒天线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2.9</w:t>
            </w:r>
          </w:p>
        </w:tc>
        <w:tc>
          <w:tcPr>
            <w:tcW w:w="1945" w:type="dxa"/>
            <w:shd w:val="clear" w:color="auto" w:fill="auto"/>
            <w:vAlign w:val="center"/>
          </w:tcPr>
          <w:p>
            <w:r>
              <w:rPr>
                <w:lang w:bidi="ar"/>
              </w:rPr>
              <w:t>配套网络机柜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 xml:space="preserve">2.10 </w:t>
            </w:r>
          </w:p>
        </w:tc>
        <w:tc>
          <w:tcPr>
            <w:tcW w:w="1945" w:type="dxa"/>
            <w:shd w:val="clear" w:color="auto" w:fill="FFFFFF"/>
            <w:vAlign w:val="center"/>
          </w:tcPr>
          <w:p>
            <w:r>
              <w:rPr>
                <w:lang w:bidi="ar"/>
              </w:rPr>
              <w:t>天线延长线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远程视频会议终端</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高清会议终端</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3.2</w:t>
            </w:r>
          </w:p>
        </w:tc>
        <w:tc>
          <w:tcPr>
            <w:tcW w:w="1945" w:type="dxa"/>
            <w:shd w:val="clear" w:color="auto" w:fill="FFFFFF"/>
            <w:vAlign w:val="center"/>
          </w:tcPr>
          <w:p>
            <w:r>
              <w:rPr>
                <w:lang w:bidi="ar"/>
              </w:rPr>
              <w:t>高清一体摄像机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3.3</w:t>
            </w:r>
          </w:p>
        </w:tc>
        <w:tc>
          <w:tcPr>
            <w:tcW w:w="1945" w:type="dxa"/>
            <w:shd w:val="clear" w:color="auto" w:fill="FFFFFF"/>
            <w:vAlign w:val="center"/>
          </w:tcPr>
          <w:p>
            <w:r>
              <w:rPr>
                <w:lang w:bidi="ar"/>
              </w:rPr>
              <w:t>阵列麦克风</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3.4</w:t>
            </w:r>
          </w:p>
        </w:tc>
        <w:tc>
          <w:tcPr>
            <w:tcW w:w="1945" w:type="dxa"/>
            <w:shd w:val="clear" w:color="auto" w:fill="FFFFFF"/>
            <w:vAlign w:val="center"/>
          </w:tcPr>
          <w:p>
            <w:r>
              <w:rPr>
                <w:lang w:bidi="ar"/>
              </w:rPr>
              <w:t>高清电视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3.5</w:t>
            </w:r>
          </w:p>
        </w:tc>
        <w:tc>
          <w:tcPr>
            <w:tcW w:w="1945" w:type="dxa"/>
            <w:shd w:val="clear" w:color="auto" w:fill="FFFFFF"/>
            <w:vAlign w:val="center"/>
          </w:tcPr>
          <w:p>
            <w:r>
              <w:rPr>
                <w:lang w:bidi="ar"/>
              </w:rPr>
              <w:t>视频会议配套支架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3.6</w:t>
            </w:r>
          </w:p>
        </w:tc>
        <w:tc>
          <w:tcPr>
            <w:tcW w:w="1945" w:type="dxa"/>
            <w:shd w:val="clear" w:color="auto" w:fill="FFFFFF"/>
            <w:vAlign w:val="center"/>
          </w:tcPr>
          <w:p>
            <w:r>
              <w:rPr>
                <w:lang w:bidi="ar"/>
              </w:rPr>
              <w:t>线材及其他</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数字会议发言系统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会议系统主机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会议主席单元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4.3</w:t>
            </w:r>
          </w:p>
        </w:tc>
        <w:tc>
          <w:tcPr>
            <w:tcW w:w="1945" w:type="dxa"/>
            <w:shd w:val="clear" w:color="auto" w:fill="FFFFFF"/>
            <w:vAlign w:val="center"/>
          </w:tcPr>
          <w:p>
            <w:r>
              <w:rPr>
                <w:lang w:bidi="ar"/>
              </w:rPr>
              <w:t>会议代表单元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23</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4.4</w:t>
            </w:r>
          </w:p>
        </w:tc>
        <w:tc>
          <w:tcPr>
            <w:tcW w:w="1945" w:type="dxa"/>
            <w:shd w:val="clear" w:color="auto" w:fill="FFFFFF"/>
            <w:vAlign w:val="center"/>
          </w:tcPr>
          <w:p>
            <w:r>
              <w:rPr>
                <w:lang w:bidi="ar"/>
              </w:rPr>
              <w:t>手拉手会议代表控制内嵌软件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4.5</w:t>
            </w:r>
          </w:p>
        </w:tc>
        <w:tc>
          <w:tcPr>
            <w:tcW w:w="1945" w:type="dxa"/>
            <w:shd w:val="clear" w:color="auto" w:fill="FFFFFF"/>
            <w:vAlign w:val="center"/>
          </w:tcPr>
          <w:p>
            <w:r>
              <w:rPr>
                <w:lang w:bidi="ar"/>
              </w:rPr>
              <w:t>无线接入点和收发器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4.6</w:t>
            </w:r>
          </w:p>
        </w:tc>
        <w:tc>
          <w:tcPr>
            <w:tcW w:w="1945" w:type="dxa"/>
            <w:shd w:val="clear" w:color="auto" w:fill="FFFFFF"/>
            <w:vAlign w:val="center"/>
          </w:tcPr>
          <w:p>
            <w:r>
              <w:rPr>
                <w:lang w:bidi="ar"/>
              </w:rPr>
              <w:t>耗材及其他</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6823" w:type="dxa"/>
            <w:gridSpan w:val="8"/>
            <w:shd w:val="clear" w:color="auto" w:fill="FFFFFF"/>
            <w:vAlign w:val="center"/>
          </w:tcPr>
          <w:p>
            <w:r>
              <w:rPr>
                <w:lang w:bidi="ar"/>
              </w:rPr>
              <w:t>会议桌椅</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5.1</w:t>
            </w:r>
          </w:p>
        </w:tc>
        <w:tc>
          <w:tcPr>
            <w:tcW w:w="1945" w:type="dxa"/>
            <w:shd w:val="clear" w:color="auto" w:fill="FFFFFF"/>
            <w:vAlign w:val="center"/>
          </w:tcPr>
          <w:p>
            <w:r>
              <w:rPr>
                <w:lang w:bidi="ar"/>
              </w:rPr>
              <w:t>24人定制会议桌</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5.2</w:t>
            </w:r>
          </w:p>
        </w:tc>
        <w:tc>
          <w:tcPr>
            <w:tcW w:w="1945" w:type="dxa"/>
            <w:shd w:val="clear" w:color="auto" w:fill="FFFFFF"/>
            <w:vAlign w:val="center"/>
          </w:tcPr>
          <w:p>
            <w:r>
              <w:rPr>
                <w:lang w:bidi="ar"/>
              </w:rPr>
              <w:t>会议椅子</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50</w:t>
            </w:r>
          </w:p>
        </w:tc>
        <w:tc>
          <w:tcPr>
            <w:tcW w:w="520" w:type="dxa"/>
            <w:shd w:val="clear" w:color="auto" w:fill="FFFFFF"/>
            <w:vAlign w:val="center"/>
          </w:tcPr>
          <w:p>
            <w:r>
              <w:rPr>
                <w:lang w:bidi="ar"/>
              </w:rPr>
              <w:t>张</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rStyle w:val="490"/>
                <w:rFonts w:hAnsi="宋体"/>
                <w:lang w:bidi="ar"/>
              </w:rPr>
              <w:t>三</w:t>
            </w:r>
          </w:p>
        </w:tc>
        <w:tc>
          <w:tcPr>
            <w:tcW w:w="6823" w:type="dxa"/>
            <w:gridSpan w:val="8"/>
            <w:shd w:val="clear" w:color="auto" w:fill="FFFFFF"/>
            <w:vAlign w:val="center"/>
          </w:tcPr>
          <w:p>
            <w:r>
              <w:rPr>
                <w:rStyle w:val="490"/>
                <w:rFonts w:hAnsi="宋体"/>
                <w:lang w:bidi="ar"/>
              </w:rPr>
              <w:t>研判室</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1945" w:type="dxa"/>
            <w:shd w:val="clear" w:color="auto" w:fill="FFFFFF"/>
            <w:vAlign w:val="center"/>
          </w:tcPr>
          <w:p>
            <w:r>
              <w:rPr>
                <w:lang w:bidi="ar"/>
              </w:rPr>
              <w:t>86寸智慧屏一体机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1945" w:type="dxa"/>
            <w:shd w:val="clear" w:color="auto" w:fill="FFFFFF"/>
            <w:vAlign w:val="center"/>
          </w:tcPr>
          <w:p>
            <w:r>
              <w:rPr>
                <w:lang w:bidi="ar"/>
              </w:rPr>
              <w:t>双路4K输入节点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1945" w:type="dxa"/>
            <w:shd w:val="clear" w:color="auto" w:fill="FFFFFF"/>
            <w:vAlign w:val="center"/>
          </w:tcPr>
          <w:p>
            <w:r>
              <w:rPr>
                <w:lang w:bidi="ar"/>
              </w:rPr>
              <w:t>双路4K输出节点</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1945" w:type="dxa"/>
            <w:shd w:val="clear" w:color="auto" w:fill="FFFFFF"/>
            <w:vAlign w:val="center"/>
          </w:tcPr>
          <w:p>
            <w:r>
              <w:rPr>
                <w:lang w:bidi="ar"/>
              </w:rPr>
              <w:t>音频处理器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1945" w:type="dxa"/>
            <w:shd w:val="clear" w:color="auto" w:fill="FFFFFF"/>
            <w:vAlign w:val="center"/>
          </w:tcPr>
          <w:p>
            <w:r>
              <w:rPr>
                <w:lang w:bidi="ar"/>
              </w:rPr>
              <w:t>专业功放</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6</w:t>
            </w:r>
          </w:p>
        </w:tc>
        <w:tc>
          <w:tcPr>
            <w:tcW w:w="1945" w:type="dxa"/>
            <w:shd w:val="clear" w:color="auto" w:fill="FFFFFF"/>
            <w:vAlign w:val="center"/>
          </w:tcPr>
          <w:p>
            <w:r>
              <w:rPr>
                <w:lang w:bidi="ar"/>
              </w:rPr>
              <w:t>专业音箱</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7</w:t>
            </w:r>
          </w:p>
        </w:tc>
        <w:tc>
          <w:tcPr>
            <w:tcW w:w="1945" w:type="dxa"/>
            <w:shd w:val="clear" w:color="auto" w:fill="FFFFFF"/>
            <w:vAlign w:val="center"/>
          </w:tcPr>
          <w:p>
            <w:r>
              <w:rPr>
                <w:lang w:bidi="ar"/>
              </w:rPr>
              <w:t>支架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8</w:t>
            </w:r>
          </w:p>
        </w:tc>
        <w:tc>
          <w:tcPr>
            <w:tcW w:w="1945" w:type="dxa"/>
            <w:shd w:val="clear" w:color="auto" w:fill="FFFFFF"/>
            <w:vAlign w:val="center"/>
          </w:tcPr>
          <w:p>
            <w:r>
              <w:rPr>
                <w:lang w:bidi="ar"/>
              </w:rPr>
              <w:t>无线话筒</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9</w:t>
            </w:r>
          </w:p>
        </w:tc>
        <w:tc>
          <w:tcPr>
            <w:tcW w:w="1945" w:type="dxa"/>
            <w:shd w:val="clear" w:color="auto" w:fill="FFFFFF"/>
            <w:vAlign w:val="center"/>
          </w:tcPr>
          <w:p>
            <w:r>
              <w:rPr>
                <w:lang w:bidi="ar"/>
              </w:rPr>
              <w:t>话筒天线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10</w:t>
            </w:r>
          </w:p>
        </w:tc>
        <w:tc>
          <w:tcPr>
            <w:tcW w:w="1945" w:type="dxa"/>
            <w:shd w:val="clear" w:color="auto" w:fill="FFFFFF"/>
            <w:vAlign w:val="center"/>
          </w:tcPr>
          <w:p>
            <w:r>
              <w:rPr>
                <w:lang w:bidi="ar"/>
              </w:rPr>
              <w:t>配套网络机柜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高清会议终端</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高清一体摄像机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阵列麦克风</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会议系统主机</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会议主席单元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16</w:t>
            </w:r>
          </w:p>
        </w:tc>
        <w:tc>
          <w:tcPr>
            <w:tcW w:w="1945" w:type="dxa"/>
            <w:shd w:val="clear" w:color="auto" w:fill="FFFFFF"/>
            <w:vAlign w:val="center"/>
          </w:tcPr>
          <w:p>
            <w:r>
              <w:rPr>
                <w:lang w:bidi="ar"/>
              </w:rPr>
              <w:t>会议代表单元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17</w:t>
            </w:r>
          </w:p>
        </w:tc>
        <w:tc>
          <w:tcPr>
            <w:tcW w:w="1945" w:type="dxa"/>
            <w:shd w:val="clear" w:color="auto" w:fill="FFFFFF"/>
            <w:vAlign w:val="center"/>
          </w:tcPr>
          <w:p>
            <w:r>
              <w:rPr>
                <w:lang w:bidi="ar"/>
              </w:rPr>
              <w:t>手拉手会议代表控制内嵌软件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18</w:t>
            </w:r>
          </w:p>
        </w:tc>
        <w:tc>
          <w:tcPr>
            <w:tcW w:w="1945" w:type="dxa"/>
            <w:shd w:val="clear" w:color="auto" w:fill="FFFFFF"/>
            <w:vAlign w:val="center"/>
          </w:tcPr>
          <w:p>
            <w:r>
              <w:rPr>
                <w:lang w:bidi="ar"/>
              </w:rPr>
              <w:t>无线接入点和收发器</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19</w:t>
            </w:r>
          </w:p>
        </w:tc>
        <w:tc>
          <w:tcPr>
            <w:tcW w:w="1945" w:type="dxa"/>
            <w:shd w:val="clear" w:color="auto" w:fill="FFFFFF"/>
            <w:vAlign w:val="center"/>
          </w:tcPr>
          <w:p>
            <w:r>
              <w:rPr>
                <w:lang w:bidi="ar"/>
              </w:rPr>
              <w:t>12人定制会议桌</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20</w:t>
            </w:r>
          </w:p>
        </w:tc>
        <w:tc>
          <w:tcPr>
            <w:tcW w:w="1945" w:type="dxa"/>
            <w:shd w:val="clear" w:color="auto" w:fill="FFFFFF"/>
            <w:vAlign w:val="center"/>
          </w:tcPr>
          <w:p>
            <w:r>
              <w:rPr>
                <w:lang w:bidi="ar"/>
              </w:rPr>
              <w:t>会议椅子</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14</w:t>
            </w:r>
          </w:p>
        </w:tc>
        <w:tc>
          <w:tcPr>
            <w:tcW w:w="520" w:type="dxa"/>
            <w:shd w:val="clear" w:color="auto" w:fill="FFFFFF"/>
            <w:vAlign w:val="center"/>
          </w:tcPr>
          <w:p>
            <w:r>
              <w:rPr>
                <w:lang w:bidi="ar"/>
              </w:rPr>
              <w:t>张</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连接线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插座</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电线电缆及其他辅材</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rStyle w:val="490"/>
                <w:rFonts w:hAnsi="宋体"/>
                <w:lang w:bidi="ar"/>
              </w:rPr>
              <w:t>四</w:t>
            </w:r>
          </w:p>
        </w:tc>
        <w:tc>
          <w:tcPr>
            <w:tcW w:w="6823" w:type="dxa"/>
            <w:gridSpan w:val="8"/>
            <w:shd w:val="clear" w:color="auto" w:fill="FFFFFF"/>
            <w:vAlign w:val="center"/>
          </w:tcPr>
          <w:p>
            <w:r>
              <w:rPr>
                <w:rStyle w:val="490"/>
                <w:rFonts w:hAnsi="宋体"/>
                <w:lang w:bidi="ar"/>
              </w:rPr>
              <w:t>设备间</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r>
              <w:rPr>
                <w:lang w:bidi="ar"/>
              </w:rPr>
              <w:t>UPS系统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UPS系统（配电一体柜）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电池组</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配电线缆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精密空调系统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空调</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空调铜管</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机柜及综合布线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网络机柜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5</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3.2</w:t>
            </w:r>
          </w:p>
        </w:tc>
        <w:tc>
          <w:tcPr>
            <w:tcW w:w="1945" w:type="dxa"/>
            <w:shd w:val="clear" w:color="auto" w:fill="FFFFFF"/>
            <w:vAlign w:val="center"/>
          </w:tcPr>
          <w:p>
            <w:r>
              <w:rPr>
                <w:lang w:bidi="ar"/>
              </w:rPr>
              <w:t>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3.3</w:t>
            </w:r>
          </w:p>
        </w:tc>
        <w:tc>
          <w:tcPr>
            <w:tcW w:w="1945" w:type="dxa"/>
            <w:shd w:val="clear" w:color="auto" w:fill="FFFFFF"/>
            <w:vAlign w:val="center"/>
          </w:tcPr>
          <w:p>
            <w:r>
              <w:rPr>
                <w:lang w:bidi="ar"/>
              </w:rPr>
              <w:t>线缆及其他</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气体消防柜及动环监控</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柜式七氟丙烷气体装置</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动环监控系统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7423" w:type="dxa"/>
            <w:gridSpan w:val="9"/>
            <w:shd w:val="clear" w:color="auto" w:fill="FFFFFF"/>
            <w:noWrap/>
            <w:vAlign w:val="center"/>
          </w:tcPr>
          <w:p>
            <w:r>
              <w:rPr>
                <w:rFonts w:hint="eastAsia"/>
                <w:lang w:bidi="ar"/>
              </w:rPr>
              <w:t>第二部分：配套基础设施-信息机房工程</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一</w:t>
            </w:r>
          </w:p>
        </w:tc>
        <w:tc>
          <w:tcPr>
            <w:tcW w:w="6823" w:type="dxa"/>
            <w:gridSpan w:val="8"/>
            <w:shd w:val="clear" w:color="auto" w:fill="FFFFFF"/>
            <w:noWrap/>
            <w:vAlign w:val="center"/>
          </w:tcPr>
          <w:p>
            <w:r>
              <w:rPr>
                <w:rFonts w:hint="eastAsia"/>
                <w:lang w:bidi="ar"/>
              </w:rPr>
              <w:t>口岸信息机房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pPr>
              <w:rPr>
                <w:rFonts w:hint="eastAsia"/>
                <w:lang w:bidi="ar"/>
              </w:rPr>
            </w:pPr>
            <w:r>
              <w:rPr>
                <w:lang w:bidi="ar"/>
              </w:rPr>
              <w:t>模块化机柜</w:t>
            </w:r>
          </w:p>
        </w:tc>
        <w:tc>
          <w:tcPr>
            <w:tcW w:w="825" w:type="dxa"/>
            <w:vMerge w:val="continue"/>
            <w:tcBorders/>
            <w:shd w:val="clear" w:color="auto" w:fill="FFFFFF"/>
            <w:vAlign w:val="center"/>
          </w:tcPr>
          <w:p>
            <w:pPr>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服务器机柜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15</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密闭通道组件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配电柜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精密空调1</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监控组件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1.6</w:t>
            </w:r>
          </w:p>
        </w:tc>
        <w:tc>
          <w:tcPr>
            <w:tcW w:w="1945" w:type="dxa"/>
            <w:shd w:val="clear" w:color="auto" w:fill="FFFFFF"/>
            <w:vAlign w:val="center"/>
          </w:tcPr>
          <w:p>
            <w:r>
              <w:rPr>
                <w:lang w:bidi="ar"/>
              </w:rPr>
              <w:t>成套线缆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供配电、UPS、空调</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市电总配电柜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UPS输出柜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电力电缆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2.4</w:t>
            </w:r>
          </w:p>
        </w:tc>
        <w:tc>
          <w:tcPr>
            <w:tcW w:w="1945" w:type="dxa"/>
            <w:shd w:val="clear" w:color="auto" w:fill="FFFFFF"/>
            <w:vAlign w:val="center"/>
          </w:tcPr>
          <w:p>
            <w:r>
              <w:rPr>
                <w:lang w:bidi="ar"/>
              </w:rPr>
              <w:t>机房用UPS系统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2.5</w:t>
            </w:r>
          </w:p>
        </w:tc>
        <w:tc>
          <w:tcPr>
            <w:tcW w:w="1945" w:type="dxa"/>
            <w:shd w:val="clear" w:color="auto" w:fill="FFFFFF"/>
            <w:vAlign w:val="center"/>
          </w:tcPr>
          <w:p>
            <w:r>
              <w:rPr>
                <w:lang w:bidi="ar"/>
              </w:rPr>
              <w:t>蓄电池</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64</w:t>
            </w:r>
          </w:p>
        </w:tc>
        <w:tc>
          <w:tcPr>
            <w:tcW w:w="520" w:type="dxa"/>
            <w:shd w:val="clear" w:color="auto" w:fill="FFFFFF"/>
            <w:vAlign w:val="center"/>
          </w:tcPr>
          <w:p>
            <w:r>
              <w:rPr>
                <w:lang w:bidi="ar"/>
              </w:rPr>
              <w:t>节</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2.6</w:t>
            </w:r>
          </w:p>
        </w:tc>
        <w:tc>
          <w:tcPr>
            <w:tcW w:w="1945" w:type="dxa"/>
            <w:shd w:val="clear" w:color="auto" w:fill="FFFFFF"/>
            <w:vAlign w:val="center"/>
          </w:tcPr>
          <w:p>
            <w:r>
              <w:rPr>
                <w:lang w:bidi="ar"/>
              </w:rPr>
              <w:t>电池柜及电源线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2.7</w:t>
            </w:r>
          </w:p>
        </w:tc>
        <w:tc>
          <w:tcPr>
            <w:tcW w:w="1945" w:type="dxa"/>
            <w:shd w:val="clear" w:color="auto" w:fill="FFFFFF"/>
            <w:vAlign w:val="center"/>
          </w:tcPr>
          <w:p>
            <w:r>
              <w:rPr>
                <w:lang w:bidi="ar"/>
              </w:rPr>
              <w:t>精密空调2</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2.8</w:t>
            </w:r>
          </w:p>
        </w:tc>
        <w:tc>
          <w:tcPr>
            <w:tcW w:w="1945" w:type="dxa"/>
            <w:shd w:val="clear" w:color="auto" w:fill="FFFFFF"/>
            <w:vAlign w:val="center"/>
          </w:tcPr>
          <w:p>
            <w:r>
              <w:rPr>
                <w:lang w:bidi="ar"/>
              </w:rPr>
              <w:t>精密空调3</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动环系统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机房动环监控系统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机房桥架</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强电网格桥架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弱电网格桥架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6823" w:type="dxa"/>
            <w:gridSpan w:val="8"/>
            <w:shd w:val="clear" w:color="auto" w:fill="FFFFFF"/>
            <w:vAlign w:val="center"/>
          </w:tcPr>
          <w:p>
            <w:r>
              <w:rPr>
                <w:lang w:bidi="ar"/>
              </w:rPr>
              <w:t>机房综合布线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5.1</w:t>
            </w:r>
          </w:p>
        </w:tc>
        <w:tc>
          <w:tcPr>
            <w:tcW w:w="1945" w:type="dxa"/>
            <w:shd w:val="clear" w:color="auto" w:fill="FFFFFF"/>
            <w:vAlign w:val="center"/>
          </w:tcPr>
          <w:p>
            <w:r>
              <w:rPr>
                <w:lang w:bidi="ar"/>
              </w:rPr>
              <w:t>光缆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225</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5.2</w:t>
            </w:r>
          </w:p>
        </w:tc>
        <w:tc>
          <w:tcPr>
            <w:tcW w:w="1945" w:type="dxa"/>
            <w:shd w:val="clear" w:color="auto" w:fill="FFFFFF"/>
            <w:vAlign w:val="center"/>
          </w:tcPr>
          <w:p>
            <w:r>
              <w:rPr>
                <w:lang w:bidi="ar"/>
              </w:rPr>
              <w:t>光纤分配架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30</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5.3</w:t>
            </w:r>
          </w:p>
        </w:tc>
        <w:tc>
          <w:tcPr>
            <w:tcW w:w="1945" w:type="dxa"/>
            <w:shd w:val="clear" w:color="auto" w:fill="FFFFFF"/>
            <w:vAlign w:val="center"/>
          </w:tcPr>
          <w:p>
            <w:r>
              <w:rPr>
                <w:lang w:bidi="ar"/>
              </w:rPr>
              <w:t>网线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4560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5.4</w:t>
            </w:r>
          </w:p>
        </w:tc>
        <w:tc>
          <w:tcPr>
            <w:tcW w:w="1945" w:type="dxa"/>
            <w:shd w:val="clear" w:color="auto" w:fill="FFFFFF"/>
            <w:vAlign w:val="center"/>
          </w:tcPr>
          <w:p>
            <w:r>
              <w:rPr>
                <w:lang w:bidi="ar"/>
              </w:rPr>
              <w:t>网络配线架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5.5</w:t>
            </w:r>
          </w:p>
        </w:tc>
        <w:tc>
          <w:tcPr>
            <w:tcW w:w="1945" w:type="dxa"/>
            <w:shd w:val="clear" w:color="auto" w:fill="FFFFFF"/>
            <w:vAlign w:val="center"/>
          </w:tcPr>
          <w:p>
            <w:r>
              <w:rPr>
                <w:lang w:bidi="ar"/>
              </w:rPr>
              <w:t>理线架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5.6</w:t>
            </w:r>
          </w:p>
        </w:tc>
        <w:tc>
          <w:tcPr>
            <w:tcW w:w="1945" w:type="dxa"/>
            <w:shd w:val="clear" w:color="auto" w:fill="FFFFFF"/>
            <w:vAlign w:val="center"/>
          </w:tcPr>
          <w:p>
            <w:r>
              <w:rPr>
                <w:lang w:bidi="ar"/>
              </w:rPr>
              <w:t>网络跳线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912</w:t>
            </w:r>
          </w:p>
        </w:tc>
        <w:tc>
          <w:tcPr>
            <w:tcW w:w="520" w:type="dxa"/>
            <w:shd w:val="clear" w:color="auto" w:fill="FFFFFF"/>
            <w:vAlign w:val="center"/>
          </w:tcPr>
          <w:p>
            <w:r>
              <w:rPr>
                <w:lang w:bidi="ar"/>
              </w:rPr>
              <w:t>条</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二</w:t>
            </w:r>
          </w:p>
        </w:tc>
        <w:tc>
          <w:tcPr>
            <w:tcW w:w="6823" w:type="dxa"/>
            <w:gridSpan w:val="8"/>
            <w:shd w:val="clear" w:color="auto" w:fill="FFFFFF"/>
            <w:noWrap/>
            <w:vAlign w:val="center"/>
          </w:tcPr>
          <w:p>
            <w:r>
              <w:rPr>
                <w:rFonts w:hint="eastAsia"/>
                <w:lang w:bidi="ar"/>
              </w:rPr>
              <w:t>海关信息机房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r>
              <w:rPr>
                <w:lang w:bidi="ar"/>
              </w:rPr>
              <w:t>模块化机柜</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服务器机柜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19</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密闭通道组件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精密空调1</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监控组件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成套线缆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供配电、UPS、空调</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市电总配电柜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UPS输出柜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电力电缆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2.4</w:t>
            </w:r>
          </w:p>
        </w:tc>
        <w:tc>
          <w:tcPr>
            <w:tcW w:w="1945" w:type="dxa"/>
            <w:shd w:val="clear" w:color="auto" w:fill="FFFFFF"/>
            <w:vAlign w:val="center"/>
          </w:tcPr>
          <w:p>
            <w:r>
              <w:rPr>
                <w:lang w:bidi="ar"/>
              </w:rPr>
              <w:t>机房用UPS系统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2.5</w:t>
            </w:r>
          </w:p>
        </w:tc>
        <w:tc>
          <w:tcPr>
            <w:tcW w:w="1945" w:type="dxa"/>
            <w:shd w:val="clear" w:color="auto" w:fill="FFFFFF"/>
            <w:vAlign w:val="center"/>
          </w:tcPr>
          <w:p>
            <w:r>
              <w:rPr>
                <w:lang w:bidi="ar"/>
              </w:rPr>
              <w:t>蓄电池</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64</w:t>
            </w:r>
          </w:p>
        </w:tc>
        <w:tc>
          <w:tcPr>
            <w:tcW w:w="520" w:type="dxa"/>
            <w:shd w:val="clear" w:color="auto" w:fill="FFFFFF"/>
            <w:vAlign w:val="center"/>
          </w:tcPr>
          <w:p>
            <w:r>
              <w:rPr>
                <w:lang w:bidi="ar"/>
              </w:rPr>
              <w:t>节</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2.6</w:t>
            </w:r>
          </w:p>
        </w:tc>
        <w:tc>
          <w:tcPr>
            <w:tcW w:w="1945" w:type="dxa"/>
            <w:shd w:val="clear" w:color="auto" w:fill="FFFFFF"/>
            <w:vAlign w:val="center"/>
          </w:tcPr>
          <w:p>
            <w:r>
              <w:rPr>
                <w:lang w:bidi="ar"/>
              </w:rPr>
              <w:t>电池柜及电源线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2.7</w:t>
            </w:r>
          </w:p>
        </w:tc>
        <w:tc>
          <w:tcPr>
            <w:tcW w:w="1945" w:type="dxa"/>
            <w:shd w:val="clear" w:color="auto" w:fill="FFFFFF"/>
            <w:vAlign w:val="center"/>
          </w:tcPr>
          <w:p>
            <w:r>
              <w:rPr>
                <w:lang w:bidi="ar"/>
              </w:rPr>
              <w:t>精密空调2</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动环系统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机房动环监控系统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机房桥架</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强电网格桥架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弱电网格桥架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6823" w:type="dxa"/>
            <w:gridSpan w:val="8"/>
            <w:shd w:val="clear" w:color="auto" w:fill="FFFFFF"/>
            <w:vAlign w:val="center"/>
          </w:tcPr>
          <w:p>
            <w:r>
              <w:rPr>
                <w:lang w:bidi="ar"/>
              </w:rPr>
              <w:t>机房综合布线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5.1</w:t>
            </w:r>
          </w:p>
        </w:tc>
        <w:tc>
          <w:tcPr>
            <w:tcW w:w="1945" w:type="dxa"/>
            <w:shd w:val="clear" w:color="auto" w:fill="FFFFFF"/>
            <w:vAlign w:val="center"/>
          </w:tcPr>
          <w:p>
            <w:r>
              <w:rPr>
                <w:lang w:bidi="ar"/>
              </w:rPr>
              <w:t>光缆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285</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5.2</w:t>
            </w:r>
          </w:p>
        </w:tc>
        <w:tc>
          <w:tcPr>
            <w:tcW w:w="1945" w:type="dxa"/>
            <w:shd w:val="clear" w:color="auto" w:fill="FFFFFF"/>
            <w:vAlign w:val="center"/>
          </w:tcPr>
          <w:p>
            <w:r>
              <w:rPr>
                <w:lang w:bidi="ar"/>
              </w:rPr>
              <w:t>ODF架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架</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5.3</w:t>
            </w:r>
          </w:p>
        </w:tc>
        <w:tc>
          <w:tcPr>
            <w:tcW w:w="1945" w:type="dxa"/>
            <w:shd w:val="clear" w:color="auto" w:fill="FFFFFF"/>
            <w:vAlign w:val="center"/>
          </w:tcPr>
          <w:p>
            <w:r>
              <w:rPr>
                <w:lang w:bidi="ar"/>
              </w:rPr>
              <w:t>光纤分配架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5.4</w:t>
            </w:r>
          </w:p>
        </w:tc>
        <w:tc>
          <w:tcPr>
            <w:tcW w:w="1945" w:type="dxa"/>
            <w:shd w:val="clear" w:color="auto" w:fill="FFFFFF"/>
            <w:vAlign w:val="center"/>
          </w:tcPr>
          <w:p>
            <w:r>
              <w:rPr>
                <w:lang w:bidi="ar"/>
              </w:rPr>
              <w:t>网络配线架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5.5</w:t>
            </w:r>
          </w:p>
        </w:tc>
        <w:tc>
          <w:tcPr>
            <w:tcW w:w="1945" w:type="dxa"/>
            <w:shd w:val="clear" w:color="auto" w:fill="FFFFFF"/>
            <w:vAlign w:val="center"/>
          </w:tcPr>
          <w:p>
            <w:r>
              <w:rPr>
                <w:lang w:bidi="ar"/>
              </w:rPr>
              <w:t>网线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4560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5.6</w:t>
            </w:r>
          </w:p>
        </w:tc>
        <w:tc>
          <w:tcPr>
            <w:tcW w:w="1945" w:type="dxa"/>
            <w:shd w:val="clear" w:color="auto" w:fill="FFFFFF"/>
            <w:vAlign w:val="center"/>
          </w:tcPr>
          <w:p>
            <w:r>
              <w:rPr>
                <w:lang w:bidi="ar"/>
              </w:rPr>
              <w:t>理线架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5.7</w:t>
            </w:r>
          </w:p>
        </w:tc>
        <w:tc>
          <w:tcPr>
            <w:tcW w:w="1945" w:type="dxa"/>
            <w:shd w:val="clear" w:color="auto" w:fill="FFFFFF"/>
            <w:vAlign w:val="center"/>
          </w:tcPr>
          <w:p>
            <w:r>
              <w:rPr>
                <w:lang w:bidi="ar"/>
              </w:rPr>
              <w:t>网络跳线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912</w:t>
            </w:r>
          </w:p>
        </w:tc>
        <w:tc>
          <w:tcPr>
            <w:tcW w:w="520" w:type="dxa"/>
            <w:shd w:val="clear" w:color="auto" w:fill="FFFFFF"/>
            <w:vAlign w:val="center"/>
          </w:tcPr>
          <w:p>
            <w:r>
              <w:rPr>
                <w:lang w:bidi="ar"/>
              </w:rPr>
              <w:t>条</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三</w:t>
            </w:r>
          </w:p>
        </w:tc>
        <w:tc>
          <w:tcPr>
            <w:tcW w:w="6823" w:type="dxa"/>
            <w:gridSpan w:val="8"/>
            <w:shd w:val="clear" w:color="auto" w:fill="FFFFFF"/>
            <w:noWrap/>
            <w:vAlign w:val="center"/>
          </w:tcPr>
          <w:p>
            <w:r>
              <w:rPr>
                <w:rFonts w:hint="eastAsia"/>
                <w:lang w:bidi="ar"/>
              </w:rPr>
              <w:t>边检信息机房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r>
              <w:rPr>
                <w:lang w:bidi="ar"/>
              </w:rPr>
              <w:t>模块化机柜</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服务器机柜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19</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密闭通道组件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配电柜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精密空调1</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监控组件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1.6</w:t>
            </w:r>
          </w:p>
        </w:tc>
        <w:tc>
          <w:tcPr>
            <w:tcW w:w="1945" w:type="dxa"/>
            <w:shd w:val="clear" w:color="auto" w:fill="FFFFFF"/>
            <w:vAlign w:val="center"/>
          </w:tcPr>
          <w:p>
            <w:r>
              <w:rPr>
                <w:lang w:bidi="ar"/>
              </w:rPr>
              <w:t>成套线缆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供配电、UPS、空调</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市电总配电柜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UPS输出柜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电力电缆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2.4</w:t>
            </w:r>
          </w:p>
        </w:tc>
        <w:tc>
          <w:tcPr>
            <w:tcW w:w="1945" w:type="dxa"/>
            <w:shd w:val="clear" w:color="auto" w:fill="FFFFFF"/>
            <w:vAlign w:val="center"/>
          </w:tcPr>
          <w:p>
            <w:r>
              <w:rPr>
                <w:lang w:bidi="ar"/>
              </w:rPr>
              <w:t>机房用UPS系统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2.5</w:t>
            </w:r>
          </w:p>
        </w:tc>
        <w:tc>
          <w:tcPr>
            <w:tcW w:w="1945" w:type="dxa"/>
            <w:shd w:val="clear" w:color="auto" w:fill="FFFFFF"/>
            <w:vAlign w:val="center"/>
          </w:tcPr>
          <w:p>
            <w:r>
              <w:rPr>
                <w:lang w:bidi="ar"/>
              </w:rPr>
              <w:t>蓄电池</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64</w:t>
            </w:r>
          </w:p>
        </w:tc>
        <w:tc>
          <w:tcPr>
            <w:tcW w:w="520" w:type="dxa"/>
            <w:shd w:val="clear" w:color="auto" w:fill="FFFFFF"/>
            <w:vAlign w:val="center"/>
          </w:tcPr>
          <w:p>
            <w:r>
              <w:rPr>
                <w:lang w:bidi="ar"/>
              </w:rPr>
              <w:t>节</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2.6</w:t>
            </w:r>
          </w:p>
        </w:tc>
        <w:tc>
          <w:tcPr>
            <w:tcW w:w="1945" w:type="dxa"/>
            <w:shd w:val="clear" w:color="auto" w:fill="FFFFFF"/>
            <w:vAlign w:val="center"/>
          </w:tcPr>
          <w:p>
            <w:r>
              <w:rPr>
                <w:lang w:bidi="ar"/>
              </w:rPr>
              <w:t>电池柜及电源线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2.7</w:t>
            </w:r>
          </w:p>
        </w:tc>
        <w:tc>
          <w:tcPr>
            <w:tcW w:w="1945" w:type="dxa"/>
            <w:shd w:val="clear" w:color="auto" w:fill="FFFFFF"/>
            <w:vAlign w:val="center"/>
          </w:tcPr>
          <w:p>
            <w:r>
              <w:rPr>
                <w:lang w:bidi="ar"/>
              </w:rPr>
              <w:t>精密空调2</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动环系统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机房动环监控系统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机房桥架</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强电网格桥架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弱电网格桥架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6823" w:type="dxa"/>
            <w:gridSpan w:val="8"/>
            <w:shd w:val="clear" w:color="auto" w:fill="FFFFFF"/>
            <w:vAlign w:val="center"/>
          </w:tcPr>
          <w:p>
            <w:r>
              <w:rPr>
                <w:lang w:bidi="ar"/>
              </w:rPr>
              <w:t>机房综合布线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5.1</w:t>
            </w:r>
          </w:p>
        </w:tc>
        <w:tc>
          <w:tcPr>
            <w:tcW w:w="1945" w:type="dxa"/>
            <w:shd w:val="clear" w:color="auto" w:fill="FFFFFF"/>
            <w:vAlign w:val="center"/>
          </w:tcPr>
          <w:p>
            <w:r>
              <w:rPr>
                <w:lang w:bidi="ar"/>
              </w:rPr>
              <w:t>光缆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285</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5.2</w:t>
            </w:r>
          </w:p>
        </w:tc>
        <w:tc>
          <w:tcPr>
            <w:tcW w:w="1945" w:type="dxa"/>
            <w:shd w:val="clear" w:color="auto" w:fill="FFFFFF"/>
            <w:vAlign w:val="center"/>
          </w:tcPr>
          <w:p>
            <w:r>
              <w:rPr>
                <w:lang w:bidi="ar"/>
              </w:rPr>
              <w:t>光纤分配架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5.3</w:t>
            </w:r>
          </w:p>
        </w:tc>
        <w:tc>
          <w:tcPr>
            <w:tcW w:w="1945" w:type="dxa"/>
            <w:shd w:val="clear" w:color="auto" w:fill="FFFFFF"/>
            <w:vAlign w:val="center"/>
          </w:tcPr>
          <w:p>
            <w:r>
              <w:rPr>
                <w:lang w:bidi="ar"/>
              </w:rPr>
              <w:t>网线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4560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5.4</w:t>
            </w:r>
          </w:p>
        </w:tc>
        <w:tc>
          <w:tcPr>
            <w:tcW w:w="1945" w:type="dxa"/>
            <w:shd w:val="clear" w:color="auto" w:fill="FFFFFF"/>
            <w:vAlign w:val="center"/>
          </w:tcPr>
          <w:p>
            <w:r>
              <w:rPr>
                <w:lang w:bidi="ar"/>
              </w:rPr>
              <w:t>网络配线架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5.5</w:t>
            </w:r>
          </w:p>
        </w:tc>
        <w:tc>
          <w:tcPr>
            <w:tcW w:w="1945" w:type="dxa"/>
            <w:shd w:val="clear" w:color="auto" w:fill="FFFFFF"/>
            <w:vAlign w:val="center"/>
          </w:tcPr>
          <w:p>
            <w:r>
              <w:rPr>
                <w:lang w:bidi="ar"/>
              </w:rPr>
              <w:t>理线架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5.6</w:t>
            </w:r>
          </w:p>
        </w:tc>
        <w:tc>
          <w:tcPr>
            <w:tcW w:w="1945" w:type="dxa"/>
            <w:shd w:val="clear" w:color="auto" w:fill="FFFFFF"/>
            <w:vAlign w:val="center"/>
          </w:tcPr>
          <w:p>
            <w:r>
              <w:rPr>
                <w:lang w:bidi="ar"/>
              </w:rPr>
              <w:t>网络跳线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912</w:t>
            </w:r>
          </w:p>
        </w:tc>
        <w:tc>
          <w:tcPr>
            <w:tcW w:w="520" w:type="dxa"/>
            <w:shd w:val="clear" w:color="auto" w:fill="FFFFFF"/>
            <w:vAlign w:val="center"/>
          </w:tcPr>
          <w:p>
            <w:r>
              <w:rPr>
                <w:lang w:bidi="ar"/>
              </w:rPr>
              <w:t>条</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四</w:t>
            </w:r>
          </w:p>
        </w:tc>
        <w:tc>
          <w:tcPr>
            <w:tcW w:w="6823" w:type="dxa"/>
            <w:gridSpan w:val="8"/>
            <w:shd w:val="clear" w:color="auto" w:fill="FFFFFF"/>
            <w:noWrap/>
            <w:vAlign w:val="center"/>
          </w:tcPr>
          <w:p>
            <w:r>
              <w:rPr>
                <w:rFonts w:hint="eastAsia"/>
                <w:lang w:bidi="ar"/>
              </w:rPr>
              <w:t>缉私局信息机房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6823" w:type="dxa"/>
            <w:gridSpan w:val="8"/>
            <w:shd w:val="clear" w:color="auto" w:fill="FFFFFF"/>
            <w:vAlign w:val="center"/>
          </w:tcPr>
          <w:p>
            <w:r>
              <w:rPr>
                <w:lang w:bidi="ar"/>
              </w:rPr>
              <w:t>模块化机柜</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1.1</w:t>
            </w:r>
          </w:p>
        </w:tc>
        <w:tc>
          <w:tcPr>
            <w:tcW w:w="1945" w:type="dxa"/>
            <w:shd w:val="clear" w:color="auto" w:fill="FFFFFF"/>
            <w:vAlign w:val="center"/>
          </w:tcPr>
          <w:p>
            <w:r>
              <w:rPr>
                <w:lang w:bidi="ar"/>
              </w:rPr>
              <w:t>服务器机柜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8</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1.2</w:t>
            </w:r>
          </w:p>
        </w:tc>
        <w:tc>
          <w:tcPr>
            <w:tcW w:w="1945" w:type="dxa"/>
            <w:shd w:val="clear" w:color="auto" w:fill="FFFFFF"/>
            <w:vAlign w:val="center"/>
          </w:tcPr>
          <w:p>
            <w:r>
              <w:rPr>
                <w:lang w:bidi="ar"/>
              </w:rPr>
              <w:t>密闭通道组件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1.3</w:t>
            </w:r>
          </w:p>
        </w:tc>
        <w:tc>
          <w:tcPr>
            <w:tcW w:w="1945" w:type="dxa"/>
            <w:shd w:val="clear" w:color="auto" w:fill="FFFFFF"/>
            <w:vAlign w:val="center"/>
          </w:tcPr>
          <w:p>
            <w:r>
              <w:rPr>
                <w:lang w:bidi="ar"/>
              </w:rPr>
              <w:t>精密空调1</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1.4</w:t>
            </w:r>
          </w:p>
        </w:tc>
        <w:tc>
          <w:tcPr>
            <w:tcW w:w="1945" w:type="dxa"/>
            <w:shd w:val="clear" w:color="auto" w:fill="FFFFFF"/>
            <w:vAlign w:val="center"/>
          </w:tcPr>
          <w:p>
            <w:r>
              <w:rPr>
                <w:lang w:bidi="ar"/>
              </w:rPr>
              <w:t>监控组件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1.5</w:t>
            </w:r>
          </w:p>
        </w:tc>
        <w:tc>
          <w:tcPr>
            <w:tcW w:w="1945" w:type="dxa"/>
            <w:shd w:val="clear" w:color="auto" w:fill="FFFFFF"/>
            <w:vAlign w:val="center"/>
          </w:tcPr>
          <w:p>
            <w:r>
              <w:rPr>
                <w:lang w:bidi="ar"/>
              </w:rPr>
              <w:t>成套线缆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6823" w:type="dxa"/>
            <w:gridSpan w:val="8"/>
            <w:shd w:val="clear" w:color="auto" w:fill="FFFFFF"/>
            <w:vAlign w:val="center"/>
          </w:tcPr>
          <w:p>
            <w:r>
              <w:rPr>
                <w:lang w:bidi="ar"/>
              </w:rPr>
              <w:t>供配电、UPS、空调</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2.1</w:t>
            </w:r>
          </w:p>
        </w:tc>
        <w:tc>
          <w:tcPr>
            <w:tcW w:w="1945" w:type="dxa"/>
            <w:shd w:val="clear" w:color="auto" w:fill="FFFFFF"/>
            <w:vAlign w:val="center"/>
          </w:tcPr>
          <w:p>
            <w:r>
              <w:rPr>
                <w:lang w:bidi="ar"/>
              </w:rPr>
              <w:t>市电总配电柜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2.2</w:t>
            </w:r>
          </w:p>
        </w:tc>
        <w:tc>
          <w:tcPr>
            <w:tcW w:w="1945" w:type="dxa"/>
            <w:shd w:val="clear" w:color="auto" w:fill="FFFFFF"/>
            <w:vAlign w:val="center"/>
          </w:tcPr>
          <w:p>
            <w:r>
              <w:rPr>
                <w:lang w:bidi="ar"/>
              </w:rPr>
              <w:t>UPS输出柜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2.3</w:t>
            </w:r>
          </w:p>
        </w:tc>
        <w:tc>
          <w:tcPr>
            <w:tcW w:w="1945" w:type="dxa"/>
            <w:shd w:val="clear" w:color="auto" w:fill="FFFFFF"/>
            <w:vAlign w:val="center"/>
          </w:tcPr>
          <w:p>
            <w:r>
              <w:rPr>
                <w:lang w:bidi="ar"/>
              </w:rPr>
              <w:t>电力电缆</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2.4</w:t>
            </w:r>
          </w:p>
        </w:tc>
        <w:tc>
          <w:tcPr>
            <w:tcW w:w="1945" w:type="dxa"/>
            <w:shd w:val="clear" w:color="auto" w:fill="FFFFFF"/>
            <w:vAlign w:val="center"/>
          </w:tcPr>
          <w:p>
            <w:r>
              <w:rPr>
                <w:lang w:bidi="ar"/>
              </w:rPr>
              <w:t>机房用UPS系统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2.5</w:t>
            </w:r>
          </w:p>
        </w:tc>
        <w:tc>
          <w:tcPr>
            <w:tcW w:w="1945" w:type="dxa"/>
            <w:shd w:val="clear" w:color="auto" w:fill="FFFFFF"/>
            <w:vAlign w:val="center"/>
          </w:tcPr>
          <w:p>
            <w:r>
              <w:rPr>
                <w:lang w:bidi="ar"/>
              </w:rPr>
              <w:t>蓄电池</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64</w:t>
            </w:r>
          </w:p>
        </w:tc>
        <w:tc>
          <w:tcPr>
            <w:tcW w:w="520" w:type="dxa"/>
            <w:shd w:val="clear" w:color="auto" w:fill="FFFFFF"/>
            <w:vAlign w:val="center"/>
          </w:tcPr>
          <w:p>
            <w:r>
              <w:rPr>
                <w:lang w:bidi="ar"/>
              </w:rPr>
              <w:t>节</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2.6</w:t>
            </w:r>
          </w:p>
        </w:tc>
        <w:tc>
          <w:tcPr>
            <w:tcW w:w="1945" w:type="dxa"/>
            <w:shd w:val="clear" w:color="auto" w:fill="FFFFFF"/>
            <w:vAlign w:val="center"/>
          </w:tcPr>
          <w:p>
            <w:r>
              <w:rPr>
                <w:lang w:bidi="ar"/>
              </w:rPr>
              <w:t>电池柜及电源线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2.7</w:t>
            </w:r>
          </w:p>
        </w:tc>
        <w:tc>
          <w:tcPr>
            <w:tcW w:w="1945" w:type="dxa"/>
            <w:shd w:val="clear" w:color="auto" w:fill="FFFFFF"/>
            <w:vAlign w:val="center"/>
          </w:tcPr>
          <w:p>
            <w:r>
              <w:rPr>
                <w:lang w:bidi="ar"/>
              </w:rPr>
              <w:t>精密空调2</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2</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6823" w:type="dxa"/>
            <w:gridSpan w:val="8"/>
            <w:shd w:val="clear" w:color="auto" w:fill="FFFFFF"/>
            <w:vAlign w:val="center"/>
          </w:tcPr>
          <w:p>
            <w:r>
              <w:rPr>
                <w:lang w:bidi="ar"/>
              </w:rPr>
              <w:t>动环系统</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3.1</w:t>
            </w:r>
          </w:p>
        </w:tc>
        <w:tc>
          <w:tcPr>
            <w:tcW w:w="1945" w:type="dxa"/>
            <w:shd w:val="clear" w:color="auto" w:fill="FFFFFF"/>
            <w:vAlign w:val="center"/>
          </w:tcPr>
          <w:p>
            <w:r>
              <w:rPr>
                <w:lang w:bidi="ar"/>
              </w:rPr>
              <w:t>机房动环监控系统</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套</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6823" w:type="dxa"/>
            <w:gridSpan w:val="8"/>
            <w:shd w:val="clear" w:color="auto" w:fill="FFFFFF"/>
            <w:vAlign w:val="center"/>
          </w:tcPr>
          <w:p>
            <w:r>
              <w:rPr>
                <w:lang w:bidi="ar"/>
              </w:rPr>
              <w:t>机房桥架</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4.1</w:t>
            </w:r>
          </w:p>
        </w:tc>
        <w:tc>
          <w:tcPr>
            <w:tcW w:w="1945" w:type="dxa"/>
            <w:shd w:val="clear" w:color="auto" w:fill="FFFFFF"/>
            <w:vAlign w:val="center"/>
          </w:tcPr>
          <w:p>
            <w:r>
              <w:rPr>
                <w:lang w:bidi="ar"/>
              </w:rPr>
              <w:t>强电网格桥架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4.2</w:t>
            </w:r>
          </w:p>
        </w:tc>
        <w:tc>
          <w:tcPr>
            <w:tcW w:w="1945" w:type="dxa"/>
            <w:shd w:val="clear" w:color="auto" w:fill="FFFFFF"/>
            <w:vAlign w:val="center"/>
          </w:tcPr>
          <w:p>
            <w:r>
              <w:rPr>
                <w:lang w:bidi="ar"/>
              </w:rPr>
              <w:t>弱电网格桥架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w:t>
            </w:r>
          </w:p>
        </w:tc>
        <w:tc>
          <w:tcPr>
            <w:tcW w:w="520" w:type="dxa"/>
            <w:shd w:val="clear" w:color="auto" w:fill="FFFFFF"/>
            <w:vAlign w:val="center"/>
          </w:tcPr>
          <w:p>
            <w:r>
              <w:rPr>
                <w:lang w:bidi="ar"/>
              </w:rPr>
              <w:t>项</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6823" w:type="dxa"/>
            <w:gridSpan w:val="8"/>
            <w:shd w:val="clear" w:color="auto" w:fill="FFFFFF"/>
            <w:vAlign w:val="center"/>
          </w:tcPr>
          <w:p>
            <w:r>
              <w:rPr>
                <w:lang w:bidi="ar"/>
              </w:rPr>
              <w:t>机房综合布线</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5.1</w:t>
            </w:r>
          </w:p>
        </w:tc>
        <w:tc>
          <w:tcPr>
            <w:tcW w:w="1945" w:type="dxa"/>
            <w:shd w:val="clear" w:color="auto" w:fill="FFFFFF"/>
            <w:vAlign w:val="center"/>
          </w:tcPr>
          <w:p>
            <w:r>
              <w:rPr>
                <w:lang w:bidi="ar"/>
              </w:rPr>
              <w:t>网线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1920</w:t>
            </w:r>
          </w:p>
        </w:tc>
        <w:tc>
          <w:tcPr>
            <w:tcW w:w="520" w:type="dxa"/>
            <w:shd w:val="clear" w:color="auto" w:fill="FFFFFF"/>
            <w:vAlign w:val="center"/>
          </w:tcPr>
          <w:p>
            <w:r>
              <w:rPr>
                <w:lang w:bidi="ar"/>
              </w:rPr>
              <w:t>米</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5.2</w:t>
            </w:r>
          </w:p>
        </w:tc>
        <w:tc>
          <w:tcPr>
            <w:tcW w:w="1945" w:type="dxa"/>
            <w:shd w:val="clear" w:color="auto" w:fill="FFFFFF"/>
            <w:vAlign w:val="center"/>
          </w:tcPr>
          <w:p>
            <w:r>
              <w:rPr>
                <w:lang w:bidi="ar"/>
              </w:rPr>
              <w:t>网络配线架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16</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5.3</w:t>
            </w:r>
          </w:p>
        </w:tc>
        <w:tc>
          <w:tcPr>
            <w:tcW w:w="1945" w:type="dxa"/>
            <w:shd w:val="clear" w:color="auto" w:fill="FFFFFF"/>
            <w:vAlign w:val="center"/>
          </w:tcPr>
          <w:p>
            <w:r>
              <w:rPr>
                <w:lang w:bidi="ar"/>
              </w:rPr>
              <w:t>理线架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16</w:t>
            </w:r>
          </w:p>
        </w:tc>
        <w:tc>
          <w:tcPr>
            <w:tcW w:w="520" w:type="dxa"/>
            <w:shd w:val="clear" w:color="auto" w:fill="FFFFFF"/>
            <w:vAlign w:val="center"/>
          </w:tcPr>
          <w:p>
            <w:r>
              <w:rPr>
                <w:lang w:bidi="ar"/>
              </w:rPr>
              <w:t>个</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5.4</w:t>
            </w:r>
          </w:p>
        </w:tc>
        <w:tc>
          <w:tcPr>
            <w:tcW w:w="1945" w:type="dxa"/>
            <w:shd w:val="clear" w:color="auto" w:fill="FFFFFF"/>
            <w:vAlign w:val="center"/>
          </w:tcPr>
          <w:p>
            <w:r>
              <w:rPr>
                <w:lang w:bidi="ar"/>
              </w:rPr>
              <w:t>网络跳线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192</w:t>
            </w:r>
          </w:p>
        </w:tc>
        <w:tc>
          <w:tcPr>
            <w:tcW w:w="520" w:type="dxa"/>
            <w:shd w:val="clear" w:color="auto" w:fill="FFFFFF"/>
            <w:vAlign w:val="center"/>
          </w:tcPr>
          <w:p>
            <w:r>
              <w:rPr>
                <w:lang w:bidi="ar"/>
              </w:rPr>
              <w:t>条</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五</w:t>
            </w:r>
          </w:p>
        </w:tc>
        <w:tc>
          <w:tcPr>
            <w:tcW w:w="6823" w:type="dxa"/>
            <w:gridSpan w:val="8"/>
            <w:shd w:val="clear" w:color="auto" w:fill="FFFFFF"/>
            <w:vAlign w:val="center"/>
          </w:tcPr>
          <w:p>
            <w:r>
              <w:rPr>
                <w:rFonts w:hint="eastAsia"/>
                <w:lang w:bidi="ar"/>
              </w:rPr>
              <w:t>楼层设备间</w:t>
            </w:r>
          </w:p>
        </w:tc>
        <w:tc>
          <w:tcPr>
            <w:tcW w:w="825" w:type="dxa"/>
            <w:vMerge w:val="continue"/>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1</w:t>
            </w:r>
          </w:p>
        </w:tc>
        <w:tc>
          <w:tcPr>
            <w:tcW w:w="1945" w:type="dxa"/>
            <w:shd w:val="clear" w:color="auto" w:fill="FFFFFF"/>
            <w:vAlign w:val="center"/>
          </w:tcPr>
          <w:p>
            <w:r>
              <w:rPr>
                <w:lang w:bidi="ar"/>
              </w:rPr>
              <w:t>网络机柜</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108</w:t>
            </w:r>
          </w:p>
        </w:tc>
        <w:tc>
          <w:tcPr>
            <w:tcW w:w="520" w:type="dxa"/>
            <w:shd w:val="clear" w:color="auto" w:fill="FFFFFF"/>
            <w:vAlign w:val="center"/>
          </w:tcPr>
          <w:p>
            <w:r>
              <w:rPr>
                <w:lang w:bidi="ar"/>
              </w:rPr>
              <w:t>个</w:t>
            </w:r>
          </w:p>
        </w:tc>
        <w:tc>
          <w:tcPr>
            <w:tcW w:w="469" w:type="dxa"/>
            <w:vAlign w:val="center"/>
          </w:tcPr>
          <w:p/>
        </w:tc>
        <w:tc>
          <w:tcPr>
            <w:tcW w:w="469" w:type="dxa"/>
            <w:vAlign w:val="center"/>
          </w:tcPr>
          <w:p/>
        </w:tc>
        <w:tc>
          <w:tcPr>
            <w:tcW w:w="825" w:type="dxa"/>
            <w:vMerge w:val="continue"/>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2</w:t>
            </w:r>
          </w:p>
        </w:tc>
        <w:tc>
          <w:tcPr>
            <w:tcW w:w="1945" w:type="dxa"/>
            <w:shd w:val="clear" w:color="auto" w:fill="FFFFFF"/>
            <w:vAlign w:val="center"/>
          </w:tcPr>
          <w:p>
            <w:r>
              <w:rPr>
                <w:lang w:bidi="ar"/>
              </w:rPr>
              <w:t>网络桥架</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36</w:t>
            </w:r>
          </w:p>
        </w:tc>
        <w:tc>
          <w:tcPr>
            <w:tcW w:w="520" w:type="dxa"/>
            <w:shd w:val="clear" w:color="auto" w:fill="FFFFFF"/>
            <w:vAlign w:val="center"/>
          </w:tcPr>
          <w:p>
            <w:r>
              <w:rPr>
                <w:lang w:bidi="ar"/>
              </w:rPr>
              <w:t>项</w:t>
            </w:r>
          </w:p>
        </w:tc>
        <w:tc>
          <w:tcPr>
            <w:tcW w:w="469" w:type="dxa"/>
            <w:vAlign w:val="center"/>
          </w:tcPr>
          <w:p/>
        </w:tc>
        <w:tc>
          <w:tcPr>
            <w:tcW w:w="469" w:type="dxa"/>
            <w:vAlign w:val="center"/>
          </w:tcPr>
          <w:p/>
        </w:tc>
        <w:tc>
          <w:tcPr>
            <w:tcW w:w="825" w:type="dxa"/>
            <w:vMerge w:val="continue"/>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3</w:t>
            </w:r>
          </w:p>
        </w:tc>
        <w:tc>
          <w:tcPr>
            <w:tcW w:w="1945" w:type="dxa"/>
            <w:shd w:val="clear" w:color="auto" w:fill="FFFFFF"/>
            <w:vAlign w:val="center"/>
          </w:tcPr>
          <w:p>
            <w:r>
              <w:rPr>
                <w:lang w:bidi="ar"/>
              </w:rPr>
              <w:t>静电地板</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1075</w:t>
            </w:r>
          </w:p>
        </w:tc>
        <w:tc>
          <w:tcPr>
            <w:tcW w:w="520" w:type="dxa"/>
            <w:shd w:val="clear" w:color="auto" w:fill="FFFFFF"/>
            <w:vAlign w:val="center"/>
          </w:tcPr>
          <w:p>
            <w:r>
              <w:rPr>
                <w:lang w:bidi="ar"/>
              </w:rPr>
              <w:t>平方米</w:t>
            </w:r>
          </w:p>
        </w:tc>
        <w:tc>
          <w:tcPr>
            <w:tcW w:w="469" w:type="dxa"/>
            <w:vAlign w:val="center"/>
          </w:tcPr>
          <w:p/>
        </w:tc>
        <w:tc>
          <w:tcPr>
            <w:tcW w:w="469" w:type="dxa"/>
            <w:vAlign w:val="center"/>
          </w:tcPr>
          <w:p/>
        </w:tc>
        <w:tc>
          <w:tcPr>
            <w:tcW w:w="825" w:type="dxa"/>
            <w:vMerge w:val="continue"/>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4</w:t>
            </w:r>
          </w:p>
        </w:tc>
        <w:tc>
          <w:tcPr>
            <w:tcW w:w="1945" w:type="dxa"/>
            <w:shd w:val="clear" w:color="auto" w:fill="FFFFFF"/>
            <w:vAlign w:val="center"/>
          </w:tcPr>
          <w:p>
            <w:r>
              <w:rPr>
                <w:lang w:bidi="ar"/>
              </w:rPr>
              <w:t>气体消防</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36</w:t>
            </w:r>
          </w:p>
        </w:tc>
        <w:tc>
          <w:tcPr>
            <w:tcW w:w="520" w:type="dxa"/>
            <w:shd w:val="clear" w:color="auto" w:fill="FFFFFF"/>
            <w:vAlign w:val="center"/>
          </w:tcPr>
          <w:p>
            <w:r>
              <w:rPr>
                <w:lang w:bidi="ar"/>
              </w:rPr>
              <w:t>套</w:t>
            </w:r>
          </w:p>
        </w:tc>
        <w:tc>
          <w:tcPr>
            <w:tcW w:w="469" w:type="dxa"/>
            <w:vAlign w:val="center"/>
          </w:tcPr>
          <w:p/>
        </w:tc>
        <w:tc>
          <w:tcPr>
            <w:tcW w:w="469" w:type="dxa"/>
            <w:vAlign w:val="center"/>
          </w:tcPr>
          <w:p/>
        </w:tc>
        <w:tc>
          <w:tcPr>
            <w:tcW w:w="825" w:type="dxa"/>
            <w:vMerge w:val="continue"/>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vAlign w:val="center"/>
          </w:tcPr>
          <w:p>
            <w:r>
              <w:rPr>
                <w:lang w:bidi="ar"/>
              </w:rPr>
              <w:t>5</w:t>
            </w:r>
          </w:p>
        </w:tc>
        <w:tc>
          <w:tcPr>
            <w:tcW w:w="1945" w:type="dxa"/>
            <w:shd w:val="clear" w:color="auto" w:fill="FFFFFF"/>
            <w:vAlign w:val="center"/>
          </w:tcPr>
          <w:p>
            <w:r>
              <w:rPr>
                <w:lang w:bidi="ar"/>
              </w:rPr>
              <w:t>其他辅材</w:t>
            </w:r>
          </w:p>
        </w:tc>
        <w:tc>
          <w:tcPr>
            <w:tcW w:w="1212" w:type="dxa"/>
            <w:shd w:val="clear" w:color="auto" w:fill="FFFFFF"/>
            <w:vAlign w:val="center"/>
          </w:tcPr>
          <w:p>
            <w:pPr>
              <w:rPr>
                <w:lang w:bidi="ar"/>
              </w:rPr>
            </w:pPr>
          </w:p>
        </w:tc>
        <w:tc>
          <w:tcPr>
            <w:tcW w:w="674" w:type="dxa"/>
            <w:shd w:val="clear" w:color="auto" w:fill="FFFFFF"/>
            <w:vAlign w:val="center"/>
          </w:tcPr>
          <w:p>
            <w:pPr>
              <w:rPr>
                <w:lang w:bidi="ar"/>
              </w:rPr>
            </w:pPr>
          </w:p>
        </w:tc>
        <w:tc>
          <w:tcPr>
            <w:tcW w:w="976" w:type="dxa"/>
            <w:shd w:val="clear" w:color="auto" w:fill="FFFFFF"/>
            <w:vAlign w:val="center"/>
          </w:tcPr>
          <w:p>
            <w:pPr>
              <w:rPr>
                <w:lang w:bidi="ar"/>
              </w:rPr>
            </w:pPr>
          </w:p>
        </w:tc>
        <w:tc>
          <w:tcPr>
            <w:tcW w:w="558" w:type="dxa"/>
            <w:shd w:val="clear" w:color="auto" w:fill="FFFFFF"/>
            <w:vAlign w:val="center"/>
          </w:tcPr>
          <w:p>
            <w:r>
              <w:rPr>
                <w:lang w:bidi="ar"/>
              </w:rPr>
              <w:t>36</w:t>
            </w:r>
          </w:p>
        </w:tc>
        <w:tc>
          <w:tcPr>
            <w:tcW w:w="520" w:type="dxa"/>
            <w:shd w:val="clear" w:color="auto" w:fill="FFFFFF"/>
            <w:vAlign w:val="center"/>
          </w:tcPr>
          <w:p>
            <w:r>
              <w:rPr>
                <w:lang w:bidi="ar"/>
              </w:rPr>
              <w:t>项</w:t>
            </w:r>
          </w:p>
        </w:tc>
        <w:tc>
          <w:tcPr>
            <w:tcW w:w="469" w:type="dxa"/>
            <w:vAlign w:val="center"/>
          </w:tcPr>
          <w:p/>
        </w:tc>
        <w:tc>
          <w:tcPr>
            <w:tcW w:w="469" w:type="dxa"/>
            <w:vAlign w:val="center"/>
          </w:tcPr>
          <w:p/>
        </w:tc>
        <w:tc>
          <w:tcPr>
            <w:tcW w:w="825" w:type="dxa"/>
            <w:vMerge w:val="continue"/>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7423" w:type="dxa"/>
            <w:gridSpan w:val="9"/>
            <w:shd w:val="clear" w:color="auto" w:fill="FFFFFF"/>
            <w:noWrap/>
            <w:vAlign w:val="center"/>
          </w:tcPr>
          <w:p>
            <w:pPr>
              <w:rPr>
                <w:rFonts w:hint="eastAsia"/>
                <w:lang w:bidi="ar"/>
              </w:rPr>
            </w:pPr>
            <w:r>
              <w:rPr>
                <w:rFonts w:hint="eastAsia"/>
                <w:lang w:bidi="ar"/>
              </w:rPr>
              <w:t>第三部分：配套基础设施-信息网络及光缆</w:t>
            </w:r>
          </w:p>
        </w:tc>
        <w:tc>
          <w:tcPr>
            <w:tcW w:w="825" w:type="dxa"/>
            <w:vMerge w:val="continue"/>
            <w:tcBorders/>
            <w:shd w:val="clear" w:color="auto" w:fill="FFFFFF"/>
            <w:vAlign w:val="center"/>
          </w:tcPr>
          <w:p>
            <w:pPr>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FFFFFF"/>
            <w:noWrap/>
            <w:vAlign w:val="center"/>
          </w:tcPr>
          <w:p>
            <w:r>
              <w:rPr>
                <w:rFonts w:hint="eastAsia"/>
                <w:lang w:bidi="ar"/>
              </w:rPr>
              <w:t>一</w:t>
            </w:r>
          </w:p>
        </w:tc>
        <w:tc>
          <w:tcPr>
            <w:tcW w:w="6823" w:type="dxa"/>
            <w:gridSpan w:val="8"/>
            <w:shd w:val="clear" w:color="auto" w:fill="FFFFFF"/>
            <w:noWrap/>
            <w:vAlign w:val="center"/>
          </w:tcPr>
          <w:p>
            <w:pPr>
              <w:rPr>
                <w:rFonts w:hint="eastAsia"/>
                <w:lang w:bidi="ar"/>
              </w:rPr>
            </w:pPr>
            <w:r>
              <w:rPr>
                <w:rFonts w:hint="eastAsia"/>
                <w:lang w:bidi="ar"/>
              </w:rPr>
              <w:t>网络设备及信息安全</w:t>
            </w:r>
          </w:p>
        </w:tc>
        <w:tc>
          <w:tcPr>
            <w:tcW w:w="825" w:type="dxa"/>
            <w:vMerge w:val="continue"/>
            <w:tcBorders/>
            <w:shd w:val="clear" w:color="auto" w:fill="FFFFFF"/>
            <w:vAlign w:val="center"/>
          </w:tcPr>
          <w:p>
            <w:pPr>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w:t>
            </w:r>
          </w:p>
        </w:tc>
        <w:tc>
          <w:tcPr>
            <w:tcW w:w="6823" w:type="dxa"/>
            <w:gridSpan w:val="8"/>
            <w:shd w:val="clear" w:color="auto" w:fill="auto"/>
            <w:vAlign w:val="center"/>
          </w:tcPr>
          <w:p>
            <w:r>
              <w:rPr>
                <w:rStyle w:val="490"/>
                <w:rFonts w:hAnsi="宋体"/>
                <w:lang w:bidi="ar"/>
              </w:rPr>
              <w:t>口岸办网络设备</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1.1</w:t>
            </w:r>
          </w:p>
        </w:tc>
        <w:tc>
          <w:tcPr>
            <w:tcW w:w="1945" w:type="dxa"/>
            <w:shd w:val="clear" w:color="auto" w:fill="auto"/>
            <w:vAlign w:val="center"/>
          </w:tcPr>
          <w:p>
            <w:r>
              <w:rPr>
                <w:lang w:bidi="ar"/>
              </w:rPr>
              <w:t>政务外网</w:t>
            </w:r>
          </w:p>
        </w:tc>
        <w:tc>
          <w:tcPr>
            <w:tcW w:w="1212" w:type="dxa"/>
            <w:shd w:val="clear" w:color="auto" w:fill="auto"/>
            <w:vAlign w:val="center"/>
          </w:tcPr>
          <w:p/>
        </w:tc>
        <w:tc>
          <w:tcPr>
            <w:tcW w:w="674" w:type="dxa"/>
            <w:shd w:val="clear" w:color="auto" w:fill="auto"/>
            <w:vAlign w:val="center"/>
          </w:tcPr>
          <w:p/>
        </w:tc>
        <w:tc>
          <w:tcPr>
            <w:tcW w:w="976" w:type="dxa"/>
            <w:shd w:val="clear" w:color="auto" w:fill="auto"/>
            <w:vAlign w:val="center"/>
          </w:tcPr>
          <w:p/>
        </w:tc>
        <w:tc>
          <w:tcPr>
            <w:tcW w:w="558" w:type="dxa"/>
            <w:shd w:val="clear" w:color="auto" w:fill="auto"/>
            <w:vAlign w:val="center"/>
          </w:tcPr>
          <w:p/>
        </w:tc>
        <w:tc>
          <w:tcPr>
            <w:tcW w:w="520" w:type="dxa"/>
            <w:shd w:val="clear" w:color="auto" w:fill="auto"/>
            <w:vAlign w:val="center"/>
          </w:tcP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1.1.1</w:t>
            </w:r>
          </w:p>
        </w:tc>
        <w:tc>
          <w:tcPr>
            <w:tcW w:w="1945" w:type="dxa"/>
            <w:shd w:val="clear" w:color="auto" w:fill="auto"/>
            <w:vAlign w:val="center"/>
          </w:tcPr>
          <w:p>
            <w:r>
              <w:rPr>
                <w:lang w:bidi="ar"/>
              </w:rPr>
              <w:t>核心交换机</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1.1.2</w:t>
            </w:r>
          </w:p>
        </w:tc>
        <w:tc>
          <w:tcPr>
            <w:tcW w:w="1945" w:type="dxa"/>
            <w:shd w:val="clear" w:color="auto" w:fill="auto"/>
            <w:vAlign w:val="center"/>
          </w:tcPr>
          <w:p>
            <w:r>
              <w:rPr>
                <w:lang w:bidi="ar"/>
              </w:rPr>
              <w:t>汇聚交换机</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10</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1.1.3</w:t>
            </w:r>
          </w:p>
        </w:tc>
        <w:tc>
          <w:tcPr>
            <w:tcW w:w="1945" w:type="dxa"/>
            <w:shd w:val="clear" w:color="auto" w:fill="auto"/>
            <w:vAlign w:val="center"/>
          </w:tcPr>
          <w:p>
            <w:r>
              <w:rPr>
                <w:lang w:bidi="ar"/>
              </w:rPr>
              <w:t>下一代防火墙</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1.1.4</w:t>
            </w:r>
          </w:p>
        </w:tc>
        <w:tc>
          <w:tcPr>
            <w:tcW w:w="1945" w:type="dxa"/>
            <w:shd w:val="clear" w:color="auto" w:fill="auto"/>
            <w:vAlign w:val="center"/>
          </w:tcPr>
          <w:p>
            <w:r>
              <w:rPr>
                <w:lang w:bidi="ar"/>
              </w:rPr>
              <w:t>入侵防御设备IPS</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1.1.5</w:t>
            </w:r>
          </w:p>
        </w:tc>
        <w:tc>
          <w:tcPr>
            <w:tcW w:w="1945" w:type="dxa"/>
            <w:shd w:val="clear" w:color="auto" w:fill="auto"/>
            <w:vAlign w:val="center"/>
          </w:tcPr>
          <w:p>
            <w:r>
              <w:rPr>
                <w:lang w:bidi="ar"/>
              </w:rPr>
              <w:t>上网行为管理</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1.2</w:t>
            </w:r>
          </w:p>
        </w:tc>
        <w:tc>
          <w:tcPr>
            <w:tcW w:w="1945" w:type="dxa"/>
            <w:shd w:val="clear" w:color="auto" w:fill="auto"/>
            <w:vAlign w:val="center"/>
          </w:tcPr>
          <w:p>
            <w:r>
              <w:rPr>
                <w:lang w:bidi="ar"/>
              </w:rPr>
              <w:t>视频网</w:t>
            </w:r>
          </w:p>
        </w:tc>
        <w:tc>
          <w:tcPr>
            <w:tcW w:w="1212" w:type="dxa"/>
            <w:shd w:val="clear" w:color="auto" w:fill="auto"/>
            <w:vAlign w:val="center"/>
          </w:tcPr>
          <w:p/>
        </w:tc>
        <w:tc>
          <w:tcPr>
            <w:tcW w:w="674" w:type="dxa"/>
            <w:shd w:val="clear" w:color="auto" w:fill="auto"/>
            <w:vAlign w:val="center"/>
          </w:tcPr>
          <w:p/>
        </w:tc>
        <w:tc>
          <w:tcPr>
            <w:tcW w:w="976" w:type="dxa"/>
            <w:shd w:val="clear" w:color="auto" w:fill="auto"/>
            <w:vAlign w:val="center"/>
          </w:tcPr>
          <w:p/>
        </w:tc>
        <w:tc>
          <w:tcPr>
            <w:tcW w:w="558" w:type="dxa"/>
            <w:shd w:val="clear" w:color="auto" w:fill="auto"/>
            <w:vAlign w:val="center"/>
          </w:tcPr>
          <w:p/>
        </w:tc>
        <w:tc>
          <w:tcPr>
            <w:tcW w:w="520" w:type="dxa"/>
            <w:shd w:val="clear" w:color="auto" w:fill="auto"/>
            <w:vAlign w:val="center"/>
          </w:tcP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1.2.1</w:t>
            </w:r>
          </w:p>
        </w:tc>
        <w:tc>
          <w:tcPr>
            <w:tcW w:w="1945" w:type="dxa"/>
            <w:shd w:val="clear" w:color="auto" w:fill="auto"/>
            <w:vAlign w:val="center"/>
          </w:tcPr>
          <w:p>
            <w:r>
              <w:rPr>
                <w:lang w:bidi="ar"/>
              </w:rPr>
              <w:t>核心交换机</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w:t>
            </w:r>
          </w:p>
        </w:tc>
        <w:tc>
          <w:tcPr>
            <w:tcW w:w="6823" w:type="dxa"/>
            <w:gridSpan w:val="8"/>
            <w:shd w:val="clear" w:color="auto" w:fill="auto"/>
            <w:vAlign w:val="center"/>
          </w:tcPr>
          <w:p>
            <w:r>
              <w:rPr>
                <w:rStyle w:val="490"/>
                <w:rFonts w:hAnsi="宋体"/>
                <w:lang w:bidi="ar"/>
              </w:rPr>
              <w:t>海关网络设备</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2.1</w:t>
            </w:r>
          </w:p>
        </w:tc>
        <w:tc>
          <w:tcPr>
            <w:tcW w:w="1945" w:type="dxa"/>
            <w:shd w:val="clear" w:color="auto" w:fill="auto"/>
            <w:vAlign w:val="center"/>
          </w:tcPr>
          <w:p>
            <w:r>
              <w:rPr>
                <w:lang w:bidi="ar"/>
              </w:rPr>
              <w:t>汇聚交换机（管理网）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2.2</w:t>
            </w:r>
          </w:p>
        </w:tc>
        <w:tc>
          <w:tcPr>
            <w:tcW w:w="1945" w:type="dxa"/>
            <w:shd w:val="clear" w:color="auto" w:fill="auto"/>
            <w:vAlign w:val="center"/>
          </w:tcPr>
          <w:p>
            <w:r>
              <w:rPr>
                <w:lang w:bidi="ar"/>
              </w:rPr>
              <w:t>汇聚交换机（运行网）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2.3</w:t>
            </w:r>
          </w:p>
        </w:tc>
        <w:tc>
          <w:tcPr>
            <w:tcW w:w="1945" w:type="dxa"/>
            <w:shd w:val="clear" w:color="auto" w:fill="auto"/>
            <w:vAlign w:val="center"/>
          </w:tcPr>
          <w:p>
            <w:r>
              <w:rPr>
                <w:lang w:bidi="ar"/>
              </w:rPr>
              <w:t>汇聚交换机（H986网）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2.4</w:t>
            </w:r>
          </w:p>
        </w:tc>
        <w:tc>
          <w:tcPr>
            <w:tcW w:w="1945" w:type="dxa"/>
            <w:shd w:val="clear" w:color="auto" w:fill="auto"/>
            <w:vAlign w:val="center"/>
          </w:tcPr>
          <w:p>
            <w:r>
              <w:rPr>
                <w:lang w:bidi="ar"/>
              </w:rPr>
              <w:t>汇聚交换机（视频网）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2.5</w:t>
            </w:r>
          </w:p>
        </w:tc>
        <w:tc>
          <w:tcPr>
            <w:tcW w:w="1945" w:type="dxa"/>
            <w:shd w:val="clear" w:color="auto" w:fill="auto"/>
            <w:vAlign w:val="center"/>
          </w:tcPr>
          <w:p>
            <w:r>
              <w:rPr>
                <w:lang w:bidi="ar"/>
              </w:rPr>
              <w:t>汇聚交换机（互联网）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2.6</w:t>
            </w:r>
          </w:p>
        </w:tc>
        <w:tc>
          <w:tcPr>
            <w:tcW w:w="1945" w:type="dxa"/>
            <w:shd w:val="clear" w:color="auto" w:fill="auto"/>
            <w:vAlign w:val="center"/>
          </w:tcPr>
          <w:p>
            <w:r>
              <w:rPr>
                <w:lang w:bidi="ar"/>
              </w:rPr>
              <w:t>下一代防火墙（互联网）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2.7</w:t>
            </w:r>
          </w:p>
        </w:tc>
        <w:tc>
          <w:tcPr>
            <w:tcW w:w="1945" w:type="dxa"/>
            <w:shd w:val="clear" w:color="auto" w:fill="auto"/>
            <w:vAlign w:val="center"/>
          </w:tcPr>
          <w:p>
            <w:r>
              <w:rPr>
                <w:lang w:bidi="ar"/>
              </w:rPr>
              <w:t>入侵防御设备IPS（互联网）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2.8</w:t>
            </w:r>
          </w:p>
        </w:tc>
        <w:tc>
          <w:tcPr>
            <w:tcW w:w="1945" w:type="dxa"/>
            <w:shd w:val="clear" w:color="auto" w:fill="auto"/>
            <w:vAlign w:val="center"/>
          </w:tcPr>
          <w:p>
            <w:r>
              <w:rPr>
                <w:lang w:bidi="ar"/>
              </w:rPr>
              <w:t>上网行为管理（互联网）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2.9</w:t>
            </w:r>
          </w:p>
        </w:tc>
        <w:tc>
          <w:tcPr>
            <w:tcW w:w="1945" w:type="dxa"/>
            <w:shd w:val="clear" w:color="auto" w:fill="auto"/>
            <w:vAlign w:val="center"/>
          </w:tcPr>
          <w:p>
            <w:r>
              <w:rPr>
                <w:lang w:bidi="ar"/>
              </w:rPr>
              <w:t>语音程控交换机（语音网）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 xml:space="preserve">2.10 </w:t>
            </w:r>
          </w:p>
        </w:tc>
        <w:tc>
          <w:tcPr>
            <w:tcW w:w="1945" w:type="dxa"/>
            <w:shd w:val="clear" w:color="auto" w:fill="auto"/>
            <w:vAlign w:val="center"/>
          </w:tcPr>
          <w:p>
            <w:r>
              <w:rPr>
                <w:lang w:bidi="ar"/>
              </w:rPr>
              <w:t>综合接入设备</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10</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w:t>
            </w:r>
          </w:p>
        </w:tc>
        <w:tc>
          <w:tcPr>
            <w:tcW w:w="6823" w:type="dxa"/>
            <w:gridSpan w:val="8"/>
            <w:shd w:val="clear" w:color="auto" w:fill="auto"/>
            <w:vAlign w:val="center"/>
          </w:tcPr>
          <w:p>
            <w:r>
              <w:rPr>
                <w:rStyle w:val="490"/>
                <w:rFonts w:hAnsi="宋体"/>
                <w:lang w:bidi="ar"/>
              </w:rPr>
              <w:t>边检网络设备</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3.1</w:t>
            </w:r>
          </w:p>
        </w:tc>
        <w:tc>
          <w:tcPr>
            <w:tcW w:w="1945" w:type="dxa"/>
            <w:shd w:val="clear" w:color="auto" w:fill="auto"/>
            <w:vAlign w:val="center"/>
          </w:tcPr>
          <w:p>
            <w:r>
              <w:rPr>
                <w:lang w:bidi="ar"/>
              </w:rPr>
              <w:t>汇聚交换机（公安网）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3.2</w:t>
            </w:r>
          </w:p>
        </w:tc>
        <w:tc>
          <w:tcPr>
            <w:tcW w:w="1945" w:type="dxa"/>
            <w:shd w:val="clear" w:color="auto" w:fill="auto"/>
            <w:vAlign w:val="center"/>
          </w:tcPr>
          <w:p>
            <w:r>
              <w:rPr>
                <w:lang w:bidi="ar"/>
              </w:rPr>
              <w:t>汇聚交换机（业务网）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3.3</w:t>
            </w:r>
          </w:p>
        </w:tc>
        <w:tc>
          <w:tcPr>
            <w:tcW w:w="1945" w:type="dxa"/>
            <w:shd w:val="clear" w:color="auto" w:fill="auto"/>
            <w:vAlign w:val="center"/>
          </w:tcPr>
          <w:p>
            <w:r>
              <w:rPr>
                <w:lang w:bidi="ar"/>
              </w:rPr>
              <w:t>汇聚交换机（梅沙网）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3.4</w:t>
            </w:r>
          </w:p>
        </w:tc>
        <w:tc>
          <w:tcPr>
            <w:tcW w:w="1945" w:type="dxa"/>
            <w:shd w:val="clear" w:color="auto" w:fill="auto"/>
            <w:vAlign w:val="center"/>
          </w:tcPr>
          <w:p>
            <w:r>
              <w:rPr>
                <w:lang w:bidi="ar"/>
              </w:rPr>
              <w:t>汇聚交换机（视频网）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3.5</w:t>
            </w:r>
          </w:p>
        </w:tc>
        <w:tc>
          <w:tcPr>
            <w:tcW w:w="1945" w:type="dxa"/>
            <w:shd w:val="clear" w:color="auto" w:fill="auto"/>
            <w:vAlign w:val="center"/>
          </w:tcPr>
          <w:p>
            <w:r>
              <w:rPr>
                <w:lang w:bidi="ar"/>
              </w:rPr>
              <w:t>汇聚交换机</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3.6</w:t>
            </w:r>
          </w:p>
        </w:tc>
        <w:tc>
          <w:tcPr>
            <w:tcW w:w="1945" w:type="dxa"/>
            <w:shd w:val="clear" w:color="auto" w:fill="auto"/>
            <w:vAlign w:val="center"/>
          </w:tcPr>
          <w:p>
            <w:r>
              <w:rPr>
                <w:lang w:bidi="ar"/>
              </w:rPr>
              <w:t>语音程控交换机（语音网）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3.7</w:t>
            </w:r>
          </w:p>
        </w:tc>
        <w:tc>
          <w:tcPr>
            <w:tcW w:w="1945" w:type="dxa"/>
            <w:shd w:val="clear" w:color="auto" w:fill="auto"/>
            <w:vAlign w:val="center"/>
          </w:tcPr>
          <w:p>
            <w:r>
              <w:rPr>
                <w:lang w:bidi="ar"/>
              </w:rPr>
              <w:t>综合接入设备</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10</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3.8</w:t>
            </w:r>
          </w:p>
        </w:tc>
        <w:tc>
          <w:tcPr>
            <w:tcW w:w="1945" w:type="dxa"/>
            <w:shd w:val="clear" w:color="auto" w:fill="auto"/>
            <w:vAlign w:val="center"/>
          </w:tcPr>
          <w:p>
            <w:r>
              <w:rPr>
                <w:lang w:bidi="ar"/>
              </w:rPr>
              <w:t>汇聚交换机（互联网）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3.9</w:t>
            </w:r>
          </w:p>
        </w:tc>
        <w:tc>
          <w:tcPr>
            <w:tcW w:w="1945" w:type="dxa"/>
            <w:shd w:val="clear" w:color="auto" w:fill="auto"/>
            <w:vAlign w:val="center"/>
          </w:tcPr>
          <w:p>
            <w:r>
              <w:rPr>
                <w:lang w:bidi="ar"/>
              </w:rPr>
              <w:t>下一代防火墙（互联网）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 xml:space="preserve">3.10 </w:t>
            </w:r>
          </w:p>
        </w:tc>
        <w:tc>
          <w:tcPr>
            <w:tcW w:w="1945" w:type="dxa"/>
            <w:shd w:val="clear" w:color="auto" w:fill="auto"/>
            <w:vAlign w:val="center"/>
          </w:tcPr>
          <w:p>
            <w:r>
              <w:rPr>
                <w:lang w:bidi="ar"/>
              </w:rPr>
              <w:t>入侵防御设备IPS（互联网）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3.11</w:t>
            </w:r>
          </w:p>
        </w:tc>
        <w:tc>
          <w:tcPr>
            <w:tcW w:w="1945" w:type="dxa"/>
            <w:shd w:val="clear" w:color="auto" w:fill="auto"/>
            <w:vAlign w:val="center"/>
          </w:tcPr>
          <w:p>
            <w:r>
              <w:rPr>
                <w:lang w:bidi="ar"/>
              </w:rPr>
              <w:t>上网行为管理（互联网）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w:t>
            </w:r>
          </w:p>
        </w:tc>
        <w:tc>
          <w:tcPr>
            <w:tcW w:w="6823" w:type="dxa"/>
            <w:gridSpan w:val="8"/>
            <w:shd w:val="clear" w:color="auto" w:fill="auto"/>
            <w:vAlign w:val="center"/>
          </w:tcPr>
          <w:p>
            <w:r>
              <w:rPr>
                <w:rStyle w:val="490"/>
                <w:rFonts w:hAnsi="宋体"/>
                <w:lang w:bidi="ar"/>
              </w:rPr>
              <w:t>缉私局网络设备</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4.1</w:t>
            </w:r>
          </w:p>
        </w:tc>
        <w:tc>
          <w:tcPr>
            <w:tcW w:w="1945" w:type="dxa"/>
            <w:shd w:val="clear" w:color="auto" w:fill="auto"/>
            <w:vAlign w:val="center"/>
          </w:tcPr>
          <w:p>
            <w:r>
              <w:rPr>
                <w:lang w:bidi="ar"/>
              </w:rPr>
              <w:t>核心交换机（运行网）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4.2</w:t>
            </w:r>
          </w:p>
        </w:tc>
        <w:tc>
          <w:tcPr>
            <w:tcW w:w="1945" w:type="dxa"/>
            <w:shd w:val="clear" w:color="auto" w:fill="auto"/>
            <w:vAlign w:val="center"/>
          </w:tcPr>
          <w:p>
            <w:r>
              <w:rPr>
                <w:lang w:bidi="ar"/>
              </w:rPr>
              <w:t>汇聚交换机（运行网）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5</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4.3</w:t>
            </w:r>
          </w:p>
        </w:tc>
        <w:tc>
          <w:tcPr>
            <w:tcW w:w="1945" w:type="dxa"/>
            <w:shd w:val="clear" w:color="auto" w:fill="auto"/>
            <w:vAlign w:val="center"/>
          </w:tcPr>
          <w:p>
            <w:r>
              <w:rPr>
                <w:lang w:bidi="ar"/>
              </w:rPr>
              <w:t>核心交换机（管理网）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4.4</w:t>
            </w:r>
          </w:p>
        </w:tc>
        <w:tc>
          <w:tcPr>
            <w:tcW w:w="1945" w:type="dxa"/>
            <w:shd w:val="clear" w:color="auto" w:fill="auto"/>
            <w:vAlign w:val="center"/>
          </w:tcPr>
          <w:p>
            <w:r>
              <w:rPr>
                <w:lang w:bidi="ar"/>
              </w:rPr>
              <w:t>汇聚交换机（管理网）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5</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4.5</w:t>
            </w:r>
          </w:p>
        </w:tc>
        <w:tc>
          <w:tcPr>
            <w:tcW w:w="1945" w:type="dxa"/>
            <w:shd w:val="clear" w:color="auto" w:fill="auto"/>
            <w:vAlign w:val="center"/>
          </w:tcPr>
          <w:p>
            <w:r>
              <w:rPr>
                <w:lang w:bidi="ar"/>
              </w:rPr>
              <w:t>核心交换机（视频网）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4.6</w:t>
            </w:r>
          </w:p>
        </w:tc>
        <w:tc>
          <w:tcPr>
            <w:tcW w:w="1945" w:type="dxa"/>
            <w:shd w:val="clear" w:color="auto" w:fill="auto"/>
            <w:vAlign w:val="center"/>
          </w:tcPr>
          <w:p>
            <w:r>
              <w:rPr>
                <w:lang w:bidi="ar"/>
              </w:rPr>
              <w:t>汇聚交换机（公安网）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4.7</w:t>
            </w:r>
          </w:p>
        </w:tc>
        <w:tc>
          <w:tcPr>
            <w:tcW w:w="1945" w:type="dxa"/>
            <w:shd w:val="clear" w:color="auto" w:fill="auto"/>
            <w:vAlign w:val="center"/>
          </w:tcPr>
          <w:p>
            <w:r>
              <w:rPr>
                <w:lang w:bidi="ar"/>
              </w:rPr>
              <w:t>语音程控交换机（语音网）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4.8</w:t>
            </w:r>
          </w:p>
        </w:tc>
        <w:tc>
          <w:tcPr>
            <w:tcW w:w="1945" w:type="dxa"/>
            <w:shd w:val="clear" w:color="auto" w:fill="auto"/>
            <w:vAlign w:val="center"/>
          </w:tcPr>
          <w:p>
            <w:r>
              <w:rPr>
                <w:lang w:bidi="ar"/>
              </w:rPr>
              <w:t>综合接入设备</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10</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4.9</w:t>
            </w:r>
          </w:p>
        </w:tc>
        <w:tc>
          <w:tcPr>
            <w:tcW w:w="1945" w:type="dxa"/>
            <w:shd w:val="clear" w:color="auto" w:fill="auto"/>
            <w:vAlign w:val="center"/>
          </w:tcPr>
          <w:p>
            <w:r>
              <w:rPr>
                <w:lang w:bidi="ar"/>
              </w:rPr>
              <w:t>汇聚交换机（互联网）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 xml:space="preserve">4.10 </w:t>
            </w:r>
          </w:p>
        </w:tc>
        <w:tc>
          <w:tcPr>
            <w:tcW w:w="1945" w:type="dxa"/>
            <w:shd w:val="clear" w:color="auto" w:fill="auto"/>
            <w:vAlign w:val="center"/>
          </w:tcPr>
          <w:p>
            <w:r>
              <w:rPr>
                <w:lang w:bidi="ar"/>
              </w:rPr>
              <w:t>下一代防火墙（互联网）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4.11</w:t>
            </w:r>
          </w:p>
        </w:tc>
        <w:tc>
          <w:tcPr>
            <w:tcW w:w="1945" w:type="dxa"/>
            <w:shd w:val="clear" w:color="auto" w:fill="auto"/>
            <w:vAlign w:val="center"/>
          </w:tcPr>
          <w:p>
            <w:r>
              <w:rPr>
                <w:lang w:bidi="ar"/>
              </w:rPr>
              <w:t>入侵防御设备IPS（互联网）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4.12</w:t>
            </w:r>
          </w:p>
        </w:tc>
        <w:tc>
          <w:tcPr>
            <w:tcW w:w="1945" w:type="dxa"/>
            <w:shd w:val="clear" w:color="auto" w:fill="auto"/>
            <w:vAlign w:val="center"/>
          </w:tcPr>
          <w:p>
            <w:r>
              <w:rPr>
                <w:lang w:bidi="ar"/>
              </w:rPr>
              <w:t>上网行为管理（互联网）</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2</w:t>
            </w:r>
          </w:p>
        </w:tc>
        <w:tc>
          <w:tcPr>
            <w:tcW w:w="520" w:type="dxa"/>
            <w:shd w:val="clear" w:color="auto" w:fill="auto"/>
            <w:vAlign w:val="center"/>
          </w:tcPr>
          <w:p>
            <w:r>
              <w:rPr>
                <w:lang w:bidi="ar"/>
              </w:rPr>
              <w:t>台</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7423" w:type="dxa"/>
            <w:gridSpan w:val="9"/>
            <w:shd w:val="clear" w:color="auto" w:fill="FFFFFF"/>
            <w:noWrap/>
            <w:vAlign w:val="center"/>
          </w:tcPr>
          <w:p>
            <w:r>
              <w:rPr>
                <w:rFonts w:hint="eastAsia"/>
                <w:lang w:bidi="ar"/>
              </w:rPr>
              <w:t>二</w:t>
            </w:r>
            <w:r>
              <w:rPr>
                <w:rFonts w:hint="eastAsia"/>
                <w:lang w:eastAsia="zh-CN" w:bidi="ar"/>
              </w:rPr>
              <w:t>、</w:t>
            </w:r>
            <w:r>
              <w:rPr>
                <w:rFonts w:hint="eastAsia"/>
                <w:lang w:bidi="ar"/>
              </w:rPr>
              <w:t>光缆建设</w:t>
            </w: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1</w:t>
            </w:r>
          </w:p>
        </w:tc>
        <w:tc>
          <w:tcPr>
            <w:tcW w:w="1945" w:type="dxa"/>
            <w:shd w:val="clear" w:color="auto" w:fill="auto"/>
            <w:vAlign w:val="center"/>
          </w:tcPr>
          <w:p>
            <w:r>
              <w:rPr>
                <w:lang w:bidi="ar"/>
              </w:rPr>
              <w:t>敷设光缆1（皇岗临时旅检楼-新综合业务楼，口岸办）</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0.8</w:t>
            </w:r>
          </w:p>
        </w:tc>
        <w:tc>
          <w:tcPr>
            <w:tcW w:w="520" w:type="dxa"/>
            <w:shd w:val="clear" w:color="auto" w:fill="auto"/>
            <w:vAlign w:val="center"/>
          </w:tcPr>
          <w:p>
            <w:r>
              <w:rPr>
                <w:lang w:bidi="ar"/>
              </w:rPr>
              <w:t>公里</w:t>
            </w:r>
          </w:p>
        </w:tc>
        <w:tc>
          <w:tcPr>
            <w:tcW w:w="469" w:type="dxa"/>
            <w:shd w:val="clear" w:color="auto" w:fill="FFFFFF"/>
            <w:vAlign w:val="center"/>
          </w:tcPr>
          <w:p>
            <w:pPr>
              <w:rPr>
                <w:rFonts w:hint="eastAsia"/>
                <w:lang w:bidi="ar"/>
              </w:rPr>
            </w:pPr>
          </w:p>
        </w:tc>
        <w:tc>
          <w:tcPr>
            <w:tcW w:w="469" w:type="dxa"/>
            <w:shd w:val="clear" w:color="auto" w:fill="FFFFFF"/>
            <w:vAlign w:val="center"/>
          </w:tcPr>
          <w:p>
            <w:pPr>
              <w:rPr>
                <w:rFonts w:hint="eastAsia"/>
                <w:lang w:bidi="ar"/>
              </w:rPr>
            </w:pPr>
          </w:p>
        </w:tc>
        <w:tc>
          <w:tcPr>
            <w:tcW w:w="825" w:type="dxa"/>
            <w:vMerge w:val="continue"/>
            <w:tcBorders/>
            <w:shd w:val="clear" w:color="auto" w:fill="FFFFFF"/>
            <w:vAlign w:val="center"/>
          </w:tcPr>
          <w:p>
            <w:pPr>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2</w:t>
            </w:r>
          </w:p>
        </w:tc>
        <w:tc>
          <w:tcPr>
            <w:tcW w:w="1945" w:type="dxa"/>
            <w:shd w:val="clear" w:color="auto" w:fill="auto"/>
            <w:vAlign w:val="center"/>
          </w:tcPr>
          <w:p>
            <w:r>
              <w:rPr>
                <w:lang w:bidi="ar"/>
              </w:rPr>
              <w:t>敷设光缆2（皇岗临时旅检楼-新综合业务楼，口岸办）</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0.8</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3</w:t>
            </w:r>
          </w:p>
        </w:tc>
        <w:tc>
          <w:tcPr>
            <w:tcW w:w="1945" w:type="dxa"/>
            <w:shd w:val="clear" w:color="auto" w:fill="auto"/>
            <w:vAlign w:val="center"/>
          </w:tcPr>
          <w:p>
            <w:r>
              <w:rPr>
                <w:lang w:bidi="ar"/>
              </w:rPr>
              <w:t>敷设光缆3（皇岗海关-新综合业务楼）</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0.5</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4</w:t>
            </w:r>
          </w:p>
        </w:tc>
        <w:tc>
          <w:tcPr>
            <w:tcW w:w="1945" w:type="dxa"/>
            <w:shd w:val="clear" w:color="auto" w:fill="auto"/>
            <w:vAlign w:val="center"/>
          </w:tcPr>
          <w:p>
            <w:r>
              <w:rPr>
                <w:lang w:bidi="ar"/>
              </w:rPr>
              <w:t>敷设光缆4（皇岗海关-新综合业务楼）</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0.5</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5</w:t>
            </w:r>
          </w:p>
        </w:tc>
        <w:tc>
          <w:tcPr>
            <w:tcW w:w="1945" w:type="dxa"/>
            <w:shd w:val="clear" w:color="auto" w:fill="auto"/>
            <w:vAlign w:val="center"/>
          </w:tcPr>
          <w:p>
            <w:r>
              <w:rPr>
                <w:lang w:bidi="ar"/>
              </w:rPr>
              <w:t>敷设光缆5（皇岗边检-新综合业务楼）</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0.5</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6</w:t>
            </w:r>
          </w:p>
        </w:tc>
        <w:tc>
          <w:tcPr>
            <w:tcW w:w="1945" w:type="dxa"/>
            <w:shd w:val="clear" w:color="auto" w:fill="auto"/>
            <w:vAlign w:val="center"/>
          </w:tcPr>
          <w:p>
            <w:r>
              <w:rPr>
                <w:lang w:bidi="ar"/>
              </w:rPr>
              <w:t>敷设光缆6（皇岗边检-新综合业务楼）</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0.5</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7</w:t>
            </w:r>
          </w:p>
        </w:tc>
        <w:tc>
          <w:tcPr>
            <w:tcW w:w="1945" w:type="dxa"/>
            <w:shd w:val="clear" w:color="auto" w:fill="auto"/>
            <w:vAlign w:val="center"/>
          </w:tcPr>
          <w:p>
            <w:r>
              <w:rPr>
                <w:lang w:bidi="ar"/>
              </w:rPr>
              <w:t>敷设光缆7（皇岗缉私局-新综合业务楼）</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0.5</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6" w:type="dxa"/>
            <w:vMerge w:val="continue"/>
            <w:shd w:val="clear" w:color="auto" w:fill="FFFFFF"/>
            <w:noWrap/>
            <w:vAlign w:val="center"/>
          </w:tcPr>
          <w:p/>
        </w:tc>
        <w:tc>
          <w:tcPr>
            <w:tcW w:w="600" w:type="dxa"/>
            <w:shd w:val="clear" w:color="auto" w:fill="auto"/>
            <w:vAlign w:val="center"/>
          </w:tcPr>
          <w:p>
            <w:r>
              <w:rPr>
                <w:lang w:bidi="ar"/>
              </w:rPr>
              <w:t>8</w:t>
            </w:r>
          </w:p>
        </w:tc>
        <w:tc>
          <w:tcPr>
            <w:tcW w:w="1945" w:type="dxa"/>
            <w:shd w:val="clear" w:color="auto" w:fill="auto"/>
            <w:vAlign w:val="center"/>
          </w:tcPr>
          <w:p>
            <w:r>
              <w:rPr>
                <w:lang w:bidi="ar"/>
              </w:rPr>
              <w:t>敷设光缆8（皇岗缉私局-新综合业务楼）</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0.5</w:t>
            </w:r>
          </w:p>
        </w:tc>
        <w:tc>
          <w:tcPr>
            <w:tcW w:w="520" w:type="dxa"/>
            <w:shd w:val="clear" w:color="auto" w:fill="auto"/>
            <w:vAlign w:val="center"/>
          </w:tcPr>
          <w:p>
            <w:r>
              <w:rPr>
                <w:lang w:bidi="ar"/>
              </w:rPr>
              <w:t>公里</w:t>
            </w:r>
          </w:p>
        </w:tc>
        <w:tc>
          <w:tcPr>
            <w:tcW w:w="469" w:type="dxa"/>
            <w:shd w:val="clear" w:color="auto" w:fill="FFFFFF"/>
            <w:vAlign w:val="center"/>
          </w:tcPr>
          <w:p/>
        </w:tc>
        <w:tc>
          <w:tcPr>
            <w:tcW w:w="469" w:type="dxa"/>
            <w:shd w:val="clear" w:color="auto" w:fill="FFFFFF"/>
            <w:vAlign w:val="center"/>
          </w:tcPr>
          <w:p/>
        </w:tc>
        <w:tc>
          <w:tcPr>
            <w:tcW w:w="825" w:type="dxa"/>
            <w:vMerge w:val="continue"/>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shd w:val="clear" w:color="auto" w:fill="auto"/>
            <w:vAlign w:val="center"/>
          </w:tcPr>
          <w:p>
            <w:r>
              <w:rPr>
                <w:lang w:bidi="ar"/>
              </w:rPr>
              <w:t>9</w:t>
            </w:r>
          </w:p>
        </w:tc>
        <w:tc>
          <w:tcPr>
            <w:tcW w:w="1945" w:type="dxa"/>
            <w:shd w:val="clear" w:color="auto" w:fill="auto"/>
            <w:vAlign w:val="center"/>
          </w:tcPr>
          <w:p>
            <w:r>
              <w:rPr>
                <w:lang w:bidi="ar"/>
              </w:rPr>
              <w:t>传输管道管孔租赁费用</w:t>
            </w:r>
          </w:p>
        </w:tc>
        <w:tc>
          <w:tcPr>
            <w:tcW w:w="1212" w:type="dxa"/>
            <w:shd w:val="clear" w:color="auto" w:fill="auto"/>
            <w:vAlign w:val="center"/>
          </w:tcPr>
          <w:p>
            <w:pPr>
              <w:rPr>
                <w:lang w:bidi="ar"/>
              </w:rPr>
            </w:pPr>
          </w:p>
        </w:tc>
        <w:tc>
          <w:tcPr>
            <w:tcW w:w="674" w:type="dxa"/>
            <w:shd w:val="clear" w:color="auto" w:fill="auto"/>
            <w:vAlign w:val="center"/>
          </w:tcPr>
          <w:p>
            <w:pPr>
              <w:rPr>
                <w:lang w:bidi="ar"/>
              </w:rPr>
            </w:pPr>
          </w:p>
        </w:tc>
        <w:tc>
          <w:tcPr>
            <w:tcW w:w="976" w:type="dxa"/>
            <w:shd w:val="clear" w:color="auto" w:fill="auto"/>
            <w:vAlign w:val="center"/>
          </w:tcPr>
          <w:p>
            <w:pPr>
              <w:rPr>
                <w:lang w:bidi="ar"/>
              </w:rPr>
            </w:pPr>
          </w:p>
        </w:tc>
        <w:tc>
          <w:tcPr>
            <w:tcW w:w="558" w:type="dxa"/>
            <w:shd w:val="clear" w:color="auto" w:fill="auto"/>
            <w:vAlign w:val="center"/>
          </w:tcPr>
          <w:p>
            <w:r>
              <w:rPr>
                <w:lang w:bidi="ar"/>
              </w:rPr>
              <w:t>4.6</w:t>
            </w:r>
          </w:p>
        </w:tc>
        <w:tc>
          <w:tcPr>
            <w:tcW w:w="520" w:type="dxa"/>
            <w:shd w:val="clear" w:color="auto" w:fill="auto"/>
            <w:vAlign w:val="center"/>
          </w:tcPr>
          <w:p>
            <w:r>
              <w:rPr>
                <w:lang w:bidi="ar"/>
              </w:rPr>
              <w:t>公里</w:t>
            </w:r>
          </w:p>
        </w:tc>
        <w:tc>
          <w:tcPr>
            <w:tcW w:w="469" w:type="dxa"/>
            <w:shd w:val="clear" w:color="auto" w:fill="FFFFFF"/>
            <w:noWrap/>
            <w:vAlign w:val="center"/>
          </w:tcPr>
          <w:p/>
        </w:tc>
        <w:tc>
          <w:tcPr>
            <w:tcW w:w="469" w:type="dxa"/>
            <w:shd w:val="clear" w:color="auto" w:fill="FFFFFF"/>
            <w:noWrap/>
            <w:vAlign w:val="center"/>
          </w:tcPr>
          <w:p/>
        </w:tc>
        <w:tc>
          <w:tcPr>
            <w:tcW w:w="825" w:type="dxa"/>
            <w:vMerge w:val="continue"/>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7423" w:type="dxa"/>
            <w:gridSpan w:val="9"/>
            <w:vAlign w:val="center"/>
          </w:tcPr>
          <w:p>
            <w:r>
              <w:rPr>
                <w:rFonts w:hint="eastAsia"/>
                <w:lang w:bidi="ar"/>
              </w:rPr>
              <w:t>第四部分：软硬件系统集成</w:t>
            </w:r>
          </w:p>
        </w:tc>
        <w:tc>
          <w:tcPr>
            <w:tcW w:w="825" w:type="dxa"/>
            <w:vMerge w:val="continue"/>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6" w:type="dxa"/>
            <w:vMerge w:val="continue"/>
            <w:shd w:val="clear" w:color="auto" w:fill="FFFFFF"/>
            <w:noWrap/>
            <w:vAlign w:val="center"/>
          </w:tcPr>
          <w:p/>
        </w:tc>
        <w:tc>
          <w:tcPr>
            <w:tcW w:w="600" w:type="dxa"/>
            <w:vAlign w:val="center"/>
          </w:tcPr>
          <w:p>
            <w:r>
              <w:rPr>
                <w:lang w:bidi="ar"/>
              </w:rPr>
              <w:t>1</w:t>
            </w:r>
          </w:p>
        </w:tc>
        <w:tc>
          <w:tcPr>
            <w:tcW w:w="1945" w:type="dxa"/>
            <w:vAlign w:val="center"/>
          </w:tcPr>
          <w:p>
            <w:r>
              <w:rPr>
                <w:lang w:bidi="ar"/>
              </w:rPr>
              <w:t>软硬件系统集成</w:t>
            </w:r>
          </w:p>
        </w:tc>
        <w:tc>
          <w:tcPr>
            <w:tcW w:w="1212" w:type="dxa"/>
            <w:vAlign w:val="center"/>
          </w:tcPr>
          <w:p>
            <w:pPr>
              <w:rPr>
                <w:lang w:bidi="ar"/>
              </w:rPr>
            </w:pPr>
          </w:p>
        </w:tc>
        <w:tc>
          <w:tcPr>
            <w:tcW w:w="674" w:type="dxa"/>
            <w:vAlign w:val="center"/>
          </w:tcPr>
          <w:p>
            <w:pPr>
              <w:rPr>
                <w:lang w:bidi="ar"/>
              </w:rPr>
            </w:pPr>
          </w:p>
        </w:tc>
        <w:tc>
          <w:tcPr>
            <w:tcW w:w="976" w:type="dxa"/>
            <w:vAlign w:val="center"/>
          </w:tcPr>
          <w:p>
            <w:pPr>
              <w:rPr>
                <w:lang w:bidi="ar"/>
              </w:rPr>
            </w:pPr>
          </w:p>
        </w:tc>
        <w:tc>
          <w:tcPr>
            <w:tcW w:w="558" w:type="dxa"/>
            <w:vAlign w:val="center"/>
          </w:tcPr>
          <w:p>
            <w:r>
              <w:rPr>
                <w:lang w:bidi="ar"/>
              </w:rPr>
              <w:t>1</w:t>
            </w:r>
          </w:p>
        </w:tc>
        <w:tc>
          <w:tcPr>
            <w:tcW w:w="520" w:type="dxa"/>
            <w:vAlign w:val="center"/>
          </w:tcPr>
          <w:p>
            <w:r>
              <w:rPr>
                <w:lang w:bidi="ar"/>
              </w:rPr>
              <w:t>项</w:t>
            </w:r>
          </w:p>
        </w:tc>
        <w:tc>
          <w:tcPr>
            <w:tcW w:w="469" w:type="dxa"/>
            <w:noWrap/>
            <w:vAlign w:val="center"/>
          </w:tcPr>
          <w:p/>
        </w:tc>
        <w:tc>
          <w:tcPr>
            <w:tcW w:w="469" w:type="dxa"/>
            <w:noWrap/>
            <w:vAlign w:val="center"/>
          </w:tcPr>
          <w:p/>
        </w:tc>
        <w:tc>
          <w:tcPr>
            <w:tcW w:w="825" w:type="dxa"/>
            <w:vMerge w:val="continue"/>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74" w:type="dxa"/>
            <w:gridSpan w:val="11"/>
            <w:shd w:val="clear" w:color="auto" w:fill="FFFFFF"/>
            <w:noWrap/>
            <w:vAlign w:val="center"/>
          </w:tcPr>
          <w:p>
            <w:r>
              <w:rPr>
                <w:rFonts w:hint="eastAsia"/>
                <w:bCs/>
                <w:szCs w:val="21"/>
              </w:rPr>
              <w:t>合计（即投标总价；币种：人民币；单位：元） 小写：            大写：</w:t>
            </w:r>
          </w:p>
        </w:tc>
      </w:tr>
    </w:tbl>
    <w:p>
      <w:pPr>
        <w:ind w:firstLine="482" w:firstLineChars="200"/>
        <w:rPr>
          <w:rFonts w:ascii="宋体" w:hAnsi="宋体"/>
          <w:b/>
          <w:sz w:val="24"/>
        </w:rPr>
      </w:pPr>
      <w:r>
        <w:rPr>
          <w:rFonts w:hint="eastAsia" w:ascii="宋体" w:hAnsi="宋体"/>
          <w:b/>
          <w:sz w:val="24"/>
        </w:rPr>
        <w:t>注：1.本表可按同样格式扩展。</w:t>
      </w:r>
    </w:p>
    <w:p>
      <w:pPr>
        <w:ind w:firstLine="472" w:firstLineChars="196"/>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 xml:space="preserve"> “规格/品牌/型号”一栏填写全部或任一信息即可，若为定制类，应填写为“定制”。未填写或填写错误的，在技术要求偏离情况按一般参数负偏离一项扣分处理。</w:t>
      </w:r>
    </w:p>
    <w:p>
      <w:pPr>
        <w:ind w:firstLine="472" w:firstLineChars="196"/>
        <w:rPr>
          <w:rFonts w:ascii="宋体" w:hAnsi="宋体"/>
          <w:b/>
          <w:sz w:val="24"/>
        </w:rPr>
      </w:pPr>
      <w:r>
        <w:rPr>
          <w:rFonts w:ascii="宋体" w:hAnsi="宋体"/>
          <w:b/>
          <w:sz w:val="24"/>
        </w:rPr>
        <w:t>3</w:t>
      </w:r>
      <w:r>
        <w:rPr>
          <w:rFonts w:hint="eastAsia" w:ascii="宋体" w:hAnsi="宋体"/>
          <w:b/>
          <w:sz w:val="24"/>
        </w:rPr>
        <w:t>.</w:t>
      </w:r>
      <w:bookmarkStart w:id="65" w:name="_Hlk72074795"/>
      <w:r>
        <w:rPr>
          <w:rFonts w:hint="eastAsia" w:ascii="宋体" w:hAnsi="宋体"/>
          <w:b/>
          <w:sz w:val="24"/>
        </w:rPr>
        <w:t>“原产地”是指该货物的实际生产加工地，而非品牌总公司所在地</w:t>
      </w:r>
      <w:bookmarkEnd w:id="65"/>
      <w:r>
        <w:rPr>
          <w:rFonts w:hint="eastAsia" w:ascii="宋体" w:hAnsi="宋体"/>
          <w:b/>
          <w:sz w:val="24"/>
        </w:rPr>
        <w:t>。</w:t>
      </w:r>
    </w:p>
    <w:p>
      <w:pPr>
        <w:ind w:firstLine="472" w:firstLineChars="196"/>
        <w:rPr>
          <w:rFonts w:ascii="宋体" w:hAnsi="宋体"/>
          <w:b/>
          <w:sz w:val="24"/>
        </w:rPr>
      </w:pPr>
      <w:r>
        <w:rPr>
          <w:rFonts w:ascii="宋体" w:hAnsi="宋体"/>
          <w:b/>
          <w:sz w:val="24"/>
        </w:rPr>
        <w:t>4</w:t>
      </w:r>
      <w:r>
        <w:rPr>
          <w:rFonts w:hint="eastAsia" w:ascii="宋体" w:hAnsi="宋体"/>
          <w:b/>
          <w:sz w:val="24"/>
        </w:rPr>
        <w:t>.所投货物均应填写制造商名称。</w:t>
      </w:r>
    </w:p>
    <w:p>
      <w:pPr>
        <w:ind w:firstLine="482" w:firstLineChars="200"/>
        <w:rPr>
          <w:rFonts w:ascii="宋体" w:hAnsi="宋体"/>
          <w:b/>
          <w:sz w:val="24"/>
        </w:rPr>
      </w:pPr>
      <w:r>
        <w:rPr>
          <w:rFonts w:ascii="宋体" w:hAnsi="宋体"/>
          <w:b/>
          <w:sz w:val="24"/>
        </w:rPr>
        <w:t>5</w:t>
      </w:r>
      <w:r>
        <w:rPr>
          <w:rFonts w:hint="eastAsia" w:ascii="宋体" w:hAnsi="宋体"/>
          <w:b/>
          <w:sz w:val="24"/>
        </w:rPr>
        <w:t>.以上分项报价表的投标总价应当与开标一览表的投标总价一致。</w:t>
      </w:r>
    </w:p>
    <w:p>
      <w:pPr>
        <w:ind w:firstLine="482" w:firstLineChars="200"/>
        <w:rPr>
          <w:rFonts w:ascii="宋体" w:hAnsi="宋体"/>
          <w:b/>
          <w:sz w:val="24"/>
        </w:rPr>
      </w:pPr>
      <w:r>
        <w:rPr>
          <w:rFonts w:ascii="宋体" w:hAnsi="宋体"/>
          <w:b/>
          <w:sz w:val="24"/>
        </w:rPr>
        <w:t>6</w:t>
      </w:r>
      <w:r>
        <w:rPr>
          <w:rFonts w:hint="eastAsia" w:ascii="宋体" w:hAnsi="宋体"/>
          <w:b/>
          <w:sz w:val="24"/>
        </w:rPr>
        <w:t>.单价、合价和投标总价为包干价，即三者均应包含货物的价款、包装、运输、装卸、安装、调试、技术指导、培训、咨询、服务、保险、税费、检测、验收合格交付使用之前以及技术和售后服务等其他各项有关费用。（若招标文件商务要求中对于报价有要求的以商务要求中的条款为准）</w:t>
      </w:r>
    </w:p>
    <w:p>
      <w:pPr>
        <w:ind w:firstLine="482" w:firstLineChars="200"/>
        <w:rPr>
          <w:rFonts w:ascii="宋体" w:hAnsi="宋体"/>
          <w:b/>
          <w:sz w:val="24"/>
        </w:rPr>
      </w:pPr>
      <w:r>
        <w:rPr>
          <w:rFonts w:ascii="宋体" w:hAnsi="宋体"/>
          <w:b/>
          <w:sz w:val="24"/>
        </w:rPr>
        <w:t>7</w:t>
      </w:r>
      <w:r>
        <w:rPr>
          <w:rFonts w:hint="eastAsia" w:ascii="宋体" w:hAnsi="宋体"/>
          <w:b/>
          <w:sz w:val="24"/>
        </w:rPr>
        <w:t>.所有价格应按“招标文件”中规定的货币单位填写；投标总价应为以上各分项价格之和；投标总价和项目报价表中单个采购预算条目报价均不得超过对应的预算金额，否则将导致投标无效。</w:t>
      </w:r>
    </w:p>
    <w:p>
      <w:pPr>
        <w:ind w:firstLine="482" w:firstLineChars="200"/>
        <w:rPr>
          <w:rFonts w:ascii="宋体" w:hAnsi="宋体"/>
          <w:b/>
          <w:color w:val="FF0000"/>
          <w:sz w:val="24"/>
        </w:rPr>
      </w:pPr>
    </w:p>
    <w:p>
      <w:pPr>
        <w:tabs>
          <w:tab w:val="left" w:pos="720"/>
        </w:tabs>
        <w:jc w:val="center"/>
        <w:rPr>
          <w:b/>
          <w:sz w:val="24"/>
        </w:rPr>
      </w:pPr>
      <w:r>
        <w:rPr>
          <w:rFonts w:hint="eastAsia"/>
          <w:b/>
          <w:sz w:val="24"/>
        </w:rPr>
        <w:t>（二）核心产品品牌</w:t>
      </w:r>
    </w:p>
    <w:p>
      <w:pPr>
        <w:ind w:firstLine="482" w:firstLineChars="200"/>
        <w:rPr>
          <w:rFonts w:ascii="宋体" w:hAnsi="宋体"/>
          <w:b/>
          <w:color w:val="FF0000"/>
          <w:sz w:val="24"/>
        </w:rPr>
      </w:pPr>
    </w:p>
    <w:p>
      <w:pPr>
        <w:ind w:firstLine="482" w:firstLineChars="200"/>
        <w:rPr>
          <w:rFonts w:ascii="宋体" w:hAnsi="宋体"/>
          <w:b/>
          <w:sz w:val="24"/>
        </w:rPr>
      </w:pPr>
      <w:r>
        <w:rPr>
          <w:rFonts w:hint="eastAsia"/>
          <w:b/>
          <w:sz w:val="24"/>
        </w:rPr>
        <w:t>我单位所投核心产品的品牌为：</w:t>
      </w:r>
      <w:r>
        <w:rPr>
          <w:rFonts w:hint="eastAsia"/>
          <w:b/>
          <w:bCs/>
          <w:szCs w:val="21"/>
          <w:u w:val="thick"/>
        </w:rPr>
        <w:tab/>
      </w:r>
      <w:r>
        <w:rPr>
          <w:rFonts w:hint="eastAsia"/>
          <w:b/>
          <w:bCs/>
          <w:szCs w:val="21"/>
          <w:u w:val="thick"/>
        </w:rPr>
        <w:tab/>
      </w:r>
      <w:r>
        <w:rPr>
          <w:rFonts w:hint="eastAsia"/>
          <w:b/>
          <w:bCs/>
          <w:szCs w:val="21"/>
          <w:u w:val="thick"/>
        </w:rPr>
        <w:tab/>
      </w:r>
      <w:r>
        <w:rPr>
          <w:rFonts w:hint="eastAsia"/>
          <w:b/>
          <w:bCs/>
          <w:szCs w:val="21"/>
          <w:u w:val="thick"/>
        </w:rPr>
        <w:tab/>
      </w:r>
      <w:r>
        <w:rPr>
          <w:rFonts w:hint="eastAsia"/>
          <w:b/>
          <w:sz w:val="24"/>
        </w:rPr>
        <w:t>。</w:t>
      </w:r>
    </w:p>
    <w:p>
      <w:pPr>
        <w:ind w:firstLine="482" w:firstLineChars="200"/>
        <w:rPr>
          <w:rFonts w:ascii="宋体" w:hAnsi="宋体"/>
          <w:b/>
          <w:color w:val="FF0000"/>
          <w:sz w:val="24"/>
        </w:rPr>
      </w:pPr>
    </w:p>
    <w:p>
      <w:pPr>
        <w:ind w:firstLine="480" w:firstLineChars="200"/>
        <w:rPr>
          <w:rFonts w:ascii="宋体" w:hAnsi="宋体"/>
          <w:sz w:val="24"/>
        </w:rPr>
      </w:pPr>
      <w:r>
        <w:rPr>
          <w:rFonts w:hint="eastAsia" w:ascii="宋体" w:hAnsi="宋体"/>
          <w:sz w:val="24"/>
        </w:rPr>
        <w:t>备注：招标文件未列明核心产品的，无需填写该项。</w:t>
      </w:r>
    </w:p>
    <w:p>
      <w:pPr>
        <w:ind w:firstLine="1205" w:firstLineChars="500"/>
        <w:rPr>
          <w:rFonts w:ascii="宋体" w:hAnsi="宋体"/>
          <w:b/>
          <w:bCs/>
          <w:sz w:val="24"/>
        </w:rPr>
      </w:pPr>
      <w:r>
        <w:rPr>
          <w:rFonts w:hint="eastAsia" w:ascii="宋体" w:hAnsi="宋体"/>
          <w:b/>
          <w:bCs/>
          <w:sz w:val="24"/>
        </w:rPr>
        <w:t>本项目核心产品为：</w:t>
      </w:r>
      <w:r>
        <w:rPr>
          <w:rFonts w:hint="eastAsia" w:ascii="宋体" w:hAnsi="宋体"/>
          <w:b/>
          <w:color w:val="FF0000"/>
          <w:szCs w:val="21"/>
          <w:u w:val="single"/>
        </w:rPr>
        <w:t>第一部分：智慧口岸运行指挥中心/一、指挥大厅信息化系统/1LED显示大屏系统/1.1小间距LED显示屏，第三部分：配套基础设施-信息网络及光缆/一、网络设备及信息安全/1.口岸办网络设备/1.1政务外网/1.1.1核心交换机</w:t>
      </w:r>
    </w:p>
    <w:p>
      <w:pPr>
        <w:rPr>
          <w:b/>
          <w:sz w:val="24"/>
        </w:rPr>
      </w:pPr>
    </w:p>
    <w:p>
      <w:pPr>
        <w:tabs>
          <w:tab w:val="left" w:pos="720"/>
        </w:tabs>
        <w:ind w:firstLine="1928" w:firstLineChars="800"/>
        <w:rPr>
          <w:b/>
          <w:sz w:val="24"/>
        </w:rPr>
      </w:pPr>
      <w:r>
        <w:rPr>
          <w:rFonts w:hint="eastAsia"/>
          <w:b/>
          <w:sz w:val="24"/>
        </w:rPr>
        <w:t>（三）可选配件报价清单（不包括在总报价内）</w:t>
      </w:r>
    </w:p>
    <w:p>
      <w:pPr>
        <w:ind w:firstLine="422" w:firstLineChars="200"/>
        <w:rPr>
          <w:rFonts w:hAnsi="宋体"/>
          <w:b/>
          <w:bCs/>
          <w:szCs w:val="21"/>
        </w:rPr>
      </w:pPr>
      <w:r>
        <w:rPr>
          <w:rFonts w:hint="eastAsia" w:hAnsi="宋体"/>
          <w:b/>
          <w:bCs/>
          <w:szCs w:val="21"/>
        </w:rPr>
        <w:t>注：格式可以参照《（一）分项报价表》表格，并提供相应的品牌/规格/型号、原产地、制造商信息（没有品牌、型号的，用“定制”描述即可）、单价等详细信息</w:t>
      </w:r>
    </w:p>
    <w:p>
      <w:pPr>
        <w:ind w:firstLine="482" w:firstLineChars="200"/>
        <w:rPr>
          <w:rFonts w:hAnsi="宋体"/>
          <w:b/>
          <w:bCs/>
          <w:sz w:val="24"/>
        </w:rPr>
      </w:pPr>
    </w:p>
    <w:p>
      <w:pPr>
        <w:tabs>
          <w:tab w:val="left" w:pos="720"/>
        </w:tabs>
        <w:jc w:val="center"/>
        <w:rPr>
          <w:b/>
          <w:sz w:val="24"/>
        </w:rPr>
      </w:pPr>
      <w:r>
        <w:rPr>
          <w:rFonts w:hint="eastAsia"/>
          <w:b/>
          <w:sz w:val="24"/>
        </w:rPr>
        <w:t>（四）</w:t>
      </w:r>
      <w:bookmarkStart w:id="66" w:name="_Hlk72073235"/>
      <w:r>
        <w:rPr>
          <w:rFonts w:hint="eastAsia"/>
          <w:b/>
          <w:sz w:val="24"/>
        </w:rPr>
        <w:t>投标人认为需要涉及的其他内容报价清单</w:t>
      </w:r>
      <w:bookmarkEnd w:id="66"/>
    </w:p>
    <w:p>
      <w:pPr>
        <w:rPr>
          <w:b/>
          <w:bCs/>
        </w:rPr>
      </w:pPr>
    </w:p>
    <w:p>
      <w:pPr>
        <w:jc w:val="center"/>
        <w:outlineLvl w:val="3"/>
        <w:rPr>
          <w:rFonts w:hint="eastAsia" w:ascii="黑体" w:hAnsi="宋体" w:eastAsia="黑体"/>
          <w:bCs/>
          <w:kern w:val="0"/>
          <w:sz w:val="24"/>
          <w:szCs w:val="32"/>
          <w:lang w:eastAsia="zh-CN"/>
        </w:rPr>
      </w:pPr>
      <w:r>
        <w:rPr>
          <w:rFonts w:hint="eastAsia" w:ascii="黑体" w:hAnsi="宋体" w:eastAsia="黑体"/>
          <w:bCs/>
          <w:kern w:val="0"/>
          <w:sz w:val="24"/>
          <w:szCs w:val="32"/>
        </w:rPr>
        <w:t>五、</w:t>
      </w:r>
      <w:r>
        <w:rPr>
          <w:rFonts w:hint="eastAsia" w:ascii="黑体" w:hAnsi="宋体" w:eastAsia="黑体"/>
          <w:bCs/>
          <w:kern w:val="0"/>
          <w:sz w:val="24"/>
          <w:szCs w:val="32"/>
          <w:lang w:eastAsia="zh-CN"/>
        </w:rPr>
        <w:t>供应商认证情况</w:t>
      </w:r>
    </w:p>
    <w:p>
      <w:pPr>
        <w:rPr>
          <w:b/>
          <w:bCs/>
          <w:color w:val="FF0000"/>
        </w:rPr>
      </w:pPr>
      <w:r>
        <w:rPr>
          <w:rFonts w:hint="eastAsia"/>
          <w:b/>
          <w:bCs/>
          <w:color w:val="FF0000"/>
        </w:rPr>
        <w:t>（特别提示：投标人须按本招标文件评标信息中“</w:t>
      </w:r>
      <w:r>
        <w:rPr>
          <w:rFonts w:hint="eastAsia"/>
          <w:b/>
          <w:bCs/>
          <w:color w:val="FF0000"/>
          <w:lang w:eastAsia="zh-CN"/>
        </w:rPr>
        <w:t>供应商认证情况</w:t>
      </w:r>
      <w:r>
        <w:rPr>
          <w:rFonts w:hint="eastAsia"/>
          <w:b/>
          <w:bCs/>
          <w:color w:val="FF0000"/>
        </w:rPr>
        <w:t>”这一评审因素要求，提供详细证明资料）</w:t>
      </w:r>
    </w:p>
    <w:p>
      <w:pPr>
        <w:rPr>
          <w:b/>
          <w:bCs/>
          <w:color w:val="FF0000"/>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六、奖项</w:t>
      </w:r>
    </w:p>
    <w:p>
      <w:pPr>
        <w:rPr>
          <w:b/>
          <w:bCs/>
          <w:color w:val="FF0000"/>
        </w:rPr>
      </w:pPr>
      <w:r>
        <w:rPr>
          <w:rFonts w:hint="eastAsia"/>
          <w:b/>
          <w:bCs/>
          <w:color w:val="FF0000"/>
        </w:rPr>
        <w:t>（特别提示：投标人须按本招标文件评标信息中“奖项”这一评审因素要求，提供详细证明资料）</w:t>
      </w:r>
    </w:p>
    <w:p>
      <w:pPr>
        <w:rPr>
          <w:b/>
          <w:bCs/>
          <w:color w:val="FF0000"/>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七、</w:t>
      </w:r>
      <w:r>
        <w:rPr>
          <w:rFonts w:hint="eastAsia" w:ascii="黑体" w:hAnsi="宋体" w:eastAsia="黑体"/>
          <w:bCs/>
          <w:kern w:val="0"/>
          <w:sz w:val="24"/>
          <w:szCs w:val="32"/>
          <w:lang w:eastAsia="zh-CN"/>
        </w:rPr>
        <w:t>供应商同类业绩</w:t>
      </w:r>
    </w:p>
    <w:tbl>
      <w:tblPr>
        <w:tblStyle w:val="43"/>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418"/>
        <w:gridCol w:w="1986"/>
        <w:gridCol w:w="849"/>
        <w:gridCol w:w="993"/>
        <w:gridCol w:w="21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jc w:val="center"/>
              <w:rPr>
                <w:rFonts w:ascii="宋体" w:hAnsi="宋体"/>
                <w:sz w:val="20"/>
                <w:szCs w:val="21"/>
              </w:rPr>
            </w:pPr>
            <w:r>
              <w:rPr>
                <w:rFonts w:hint="eastAsia" w:ascii="宋体" w:hAnsi="宋体"/>
                <w:sz w:val="20"/>
                <w:szCs w:val="21"/>
              </w:rPr>
              <w:t>采购人</w:t>
            </w:r>
          </w:p>
        </w:tc>
        <w:tc>
          <w:tcPr>
            <w:tcW w:w="831" w:type="pct"/>
            <w:vAlign w:val="center"/>
          </w:tcPr>
          <w:p>
            <w:pPr>
              <w:jc w:val="center"/>
              <w:rPr>
                <w:rFonts w:ascii="宋体" w:hAnsi="宋体"/>
                <w:sz w:val="20"/>
                <w:szCs w:val="21"/>
              </w:rPr>
            </w:pPr>
            <w:r>
              <w:rPr>
                <w:rFonts w:hint="eastAsia" w:ascii="宋体" w:hAnsi="宋体"/>
                <w:sz w:val="20"/>
                <w:szCs w:val="21"/>
              </w:rPr>
              <w:t>项目名称</w:t>
            </w:r>
          </w:p>
        </w:tc>
        <w:tc>
          <w:tcPr>
            <w:tcW w:w="1164" w:type="pct"/>
            <w:vAlign w:val="center"/>
          </w:tcPr>
          <w:p>
            <w:pPr>
              <w:jc w:val="center"/>
              <w:rPr>
                <w:rFonts w:ascii="宋体" w:hAnsi="宋体"/>
                <w:sz w:val="20"/>
                <w:szCs w:val="21"/>
              </w:rPr>
            </w:pPr>
            <w:r>
              <w:rPr>
                <w:rFonts w:hint="eastAsia" w:ascii="宋体" w:hAnsi="宋体"/>
                <w:sz w:val="20"/>
                <w:szCs w:val="21"/>
              </w:rPr>
              <w:t>项目规模（金额）</w:t>
            </w:r>
          </w:p>
        </w:tc>
        <w:tc>
          <w:tcPr>
            <w:tcW w:w="498" w:type="pct"/>
            <w:vAlign w:val="center"/>
          </w:tcPr>
          <w:p>
            <w:pPr>
              <w:jc w:val="center"/>
              <w:rPr>
                <w:rFonts w:ascii="宋体" w:hAnsi="宋体"/>
                <w:sz w:val="20"/>
                <w:szCs w:val="21"/>
              </w:rPr>
            </w:pPr>
            <w:r>
              <w:rPr>
                <w:rFonts w:hint="eastAsia" w:ascii="宋体" w:hAnsi="宋体"/>
                <w:sz w:val="20"/>
                <w:szCs w:val="21"/>
              </w:rPr>
              <w:t>合同签订日期</w:t>
            </w:r>
          </w:p>
        </w:tc>
        <w:tc>
          <w:tcPr>
            <w:tcW w:w="582" w:type="pct"/>
            <w:vAlign w:val="center"/>
          </w:tcPr>
          <w:p>
            <w:pPr>
              <w:jc w:val="center"/>
              <w:rPr>
                <w:rFonts w:ascii="宋体" w:hAnsi="宋体"/>
                <w:sz w:val="20"/>
                <w:szCs w:val="21"/>
              </w:rPr>
            </w:pPr>
            <w:r>
              <w:rPr>
                <w:rFonts w:hint="eastAsia" w:ascii="宋体" w:hAnsi="宋体"/>
                <w:sz w:val="20"/>
                <w:szCs w:val="21"/>
              </w:rPr>
              <w:t>履约验收时间</w:t>
            </w:r>
          </w:p>
        </w:tc>
        <w:tc>
          <w:tcPr>
            <w:tcW w:w="1280" w:type="pct"/>
            <w:vAlign w:val="center"/>
          </w:tcPr>
          <w:p>
            <w:pPr>
              <w:jc w:val="center"/>
              <w:rPr>
                <w:rFonts w:ascii="宋体" w:hAnsi="宋体"/>
                <w:sz w:val="20"/>
                <w:szCs w:val="21"/>
              </w:rPr>
            </w:pPr>
            <w:r>
              <w:rPr>
                <w:rFonts w:hint="eastAsia" w:ascii="宋体" w:hAnsi="宋体"/>
                <w:sz w:val="20"/>
                <w:szCs w:val="21"/>
              </w:rPr>
              <w:t>完成质量情况（以履约验收报告为准）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ind w:firstLine="400" w:firstLineChars="200"/>
              <w:rPr>
                <w:rFonts w:ascii="宋体" w:hAnsi="宋体"/>
                <w:sz w:val="20"/>
                <w:szCs w:val="21"/>
              </w:rPr>
            </w:pPr>
            <w:r>
              <w:rPr>
                <w:rFonts w:ascii="宋体" w:hAnsi="宋体"/>
                <w:sz w:val="20"/>
                <w:szCs w:val="21"/>
              </w:rPr>
              <w:t>……</w:t>
            </w:r>
          </w:p>
        </w:tc>
        <w:tc>
          <w:tcPr>
            <w:tcW w:w="831" w:type="pct"/>
            <w:vAlign w:val="center"/>
          </w:tcPr>
          <w:p>
            <w:pPr>
              <w:ind w:firstLine="400" w:firstLineChars="200"/>
              <w:rPr>
                <w:rFonts w:ascii="宋体" w:hAnsi="宋体"/>
                <w:sz w:val="20"/>
                <w:szCs w:val="21"/>
              </w:rPr>
            </w:pPr>
          </w:p>
        </w:tc>
        <w:tc>
          <w:tcPr>
            <w:tcW w:w="1164" w:type="pct"/>
            <w:vAlign w:val="center"/>
          </w:tcPr>
          <w:p>
            <w:pPr>
              <w:ind w:firstLine="400" w:firstLineChars="200"/>
              <w:rPr>
                <w:rFonts w:ascii="宋体" w:hAnsi="宋体"/>
                <w:sz w:val="20"/>
                <w:szCs w:val="21"/>
              </w:rPr>
            </w:pPr>
          </w:p>
        </w:tc>
        <w:tc>
          <w:tcPr>
            <w:tcW w:w="498" w:type="pct"/>
            <w:vAlign w:val="center"/>
          </w:tcPr>
          <w:p>
            <w:pPr>
              <w:ind w:firstLine="400" w:firstLineChars="200"/>
              <w:rPr>
                <w:rFonts w:ascii="宋体" w:hAnsi="宋体"/>
                <w:sz w:val="20"/>
                <w:szCs w:val="21"/>
              </w:rPr>
            </w:pPr>
          </w:p>
        </w:tc>
        <w:tc>
          <w:tcPr>
            <w:tcW w:w="582" w:type="pct"/>
            <w:vAlign w:val="center"/>
          </w:tcPr>
          <w:p>
            <w:pPr>
              <w:ind w:firstLine="400" w:firstLineChars="200"/>
              <w:rPr>
                <w:rFonts w:ascii="宋体" w:hAnsi="宋体"/>
                <w:sz w:val="20"/>
                <w:szCs w:val="21"/>
              </w:rPr>
            </w:pPr>
          </w:p>
        </w:tc>
        <w:tc>
          <w:tcPr>
            <w:tcW w:w="1280" w:type="pct"/>
            <w:vAlign w:val="center"/>
          </w:tcPr>
          <w:p>
            <w:pPr>
              <w:ind w:firstLine="400" w:firstLineChars="200"/>
              <w:rPr>
                <w:rFonts w:ascii="宋体" w:hAnsi="宋体"/>
                <w:sz w:val="2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ind w:firstLine="400" w:firstLineChars="200"/>
              <w:rPr>
                <w:rFonts w:ascii="宋体" w:hAnsi="宋体"/>
                <w:sz w:val="20"/>
                <w:szCs w:val="21"/>
              </w:rPr>
            </w:pPr>
          </w:p>
        </w:tc>
        <w:tc>
          <w:tcPr>
            <w:tcW w:w="831" w:type="pct"/>
            <w:vAlign w:val="center"/>
          </w:tcPr>
          <w:p>
            <w:pPr>
              <w:ind w:firstLine="400" w:firstLineChars="200"/>
              <w:rPr>
                <w:rFonts w:ascii="宋体" w:hAnsi="宋体"/>
                <w:sz w:val="20"/>
                <w:szCs w:val="21"/>
              </w:rPr>
            </w:pPr>
          </w:p>
        </w:tc>
        <w:tc>
          <w:tcPr>
            <w:tcW w:w="1164" w:type="pct"/>
            <w:vAlign w:val="center"/>
          </w:tcPr>
          <w:p>
            <w:pPr>
              <w:ind w:firstLine="400" w:firstLineChars="200"/>
              <w:rPr>
                <w:rFonts w:ascii="宋体" w:hAnsi="宋体"/>
                <w:sz w:val="20"/>
                <w:szCs w:val="21"/>
              </w:rPr>
            </w:pPr>
          </w:p>
        </w:tc>
        <w:tc>
          <w:tcPr>
            <w:tcW w:w="498" w:type="pct"/>
            <w:vAlign w:val="center"/>
          </w:tcPr>
          <w:p>
            <w:pPr>
              <w:ind w:firstLine="400" w:firstLineChars="200"/>
              <w:rPr>
                <w:rFonts w:ascii="宋体" w:hAnsi="宋体"/>
                <w:sz w:val="20"/>
                <w:szCs w:val="21"/>
              </w:rPr>
            </w:pPr>
          </w:p>
        </w:tc>
        <w:tc>
          <w:tcPr>
            <w:tcW w:w="582" w:type="pct"/>
            <w:vAlign w:val="center"/>
          </w:tcPr>
          <w:p>
            <w:pPr>
              <w:ind w:firstLine="400" w:firstLineChars="200"/>
              <w:rPr>
                <w:rFonts w:ascii="宋体" w:hAnsi="宋体"/>
                <w:sz w:val="20"/>
                <w:szCs w:val="21"/>
              </w:rPr>
            </w:pPr>
          </w:p>
        </w:tc>
        <w:tc>
          <w:tcPr>
            <w:tcW w:w="1280" w:type="pct"/>
            <w:vAlign w:val="center"/>
          </w:tcPr>
          <w:p>
            <w:pPr>
              <w:ind w:firstLine="400" w:firstLineChars="200"/>
              <w:rPr>
                <w:rFonts w:ascii="宋体" w:hAnsi="宋体"/>
                <w:sz w:val="2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ind w:firstLine="400" w:firstLineChars="200"/>
              <w:rPr>
                <w:rFonts w:ascii="宋体" w:hAnsi="宋体"/>
                <w:sz w:val="20"/>
                <w:szCs w:val="21"/>
              </w:rPr>
            </w:pPr>
          </w:p>
        </w:tc>
        <w:tc>
          <w:tcPr>
            <w:tcW w:w="831" w:type="pct"/>
            <w:vAlign w:val="center"/>
          </w:tcPr>
          <w:p>
            <w:pPr>
              <w:ind w:firstLine="400" w:firstLineChars="200"/>
              <w:rPr>
                <w:rFonts w:ascii="宋体" w:hAnsi="宋体"/>
                <w:sz w:val="20"/>
                <w:szCs w:val="21"/>
              </w:rPr>
            </w:pPr>
          </w:p>
        </w:tc>
        <w:tc>
          <w:tcPr>
            <w:tcW w:w="1164" w:type="pct"/>
            <w:vAlign w:val="center"/>
          </w:tcPr>
          <w:p>
            <w:pPr>
              <w:ind w:firstLine="400" w:firstLineChars="200"/>
              <w:rPr>
                <w:rFonts w:ascii="宋体" w:hAnsi="宋体"/>
                <w:sz w:val="20"/>
                <w:szCs w:val="21"/>
              </w:rPr>
            </w:pPr>
          </w:p>
        </w:tc>
        <w:tc>
          <w:tcPr>
            <w:tcW w:w="498" w:type="pct"/>
            <w:vAlign w:val="center"/>
          </w:tcPr>
          <w:p>
            <w:pPr>
              <w:ind w:firstLine="400" w:firstLineChars="200"/>
              <w:rPr>
                <w:rFonts w:ascii="宋体" w:hAnsi="宋体"/>
                <w:sz w:val="20"/>
                <w:szCs w:val="21"/>
              </w:rPr>
            </w:pPr>
          </w:p>
        </w:tc>
        <w:tc>
          <w:tcPr>
            <w:tcW w:w="582" w:type="pct"/>
            <w:vAlign w:val="center"/>
          </w:tcPr>
          <w:p>
            <w:pPr>
              <w:ind w:firstLine="400" w:firstLineChars="200"/>
              <w:rPr>
                <w:rFonts w:ascii="宋体" w:hAnsi="宋体"/>
                <w:sz w:val="20"/>
                <w:szCs w:val="21"/>
              </w:rPr>
            </w:pPr>
          </w:p>
          <w:p/>
        </w:tc>
        <w:tc>
          <w:tcPr>
            <w:tcW w:w="1280" w:type="pct"/>
            <w:vAlign w:val="center"/>
          </w:tcPr>
          <w:p>
            <w:pPr>
              <w:ind w:firstLine="400" w:firstLineChars="200"/>
              <w:rPr>
                <w:rFonts w:ascii="宋体" w:hAnsi="宋体"/>
                <w:sz w:val="20"/>
                <w:szCs w:val="21"/>
              </w:rPr>
            </w:pPr>
          </w:p>
        </w:tc>
      </w:tr>
    </w:tbl>
    <w:p>
      <w:pPr>
        <w:rPr>
          <w:b/>
          <w:bCs/>
          <w:color w:val="FF0000"/>
        </w:rPr>
      </w:pPr>
      <w:r>
        <w:rPr>
          <w:rFonts w:hint="eastAsia"/>
          <w:b/>
          <w:bCs/>
          <w:color w:val="FF0000"/>
        </w:rPr>
        <w:t>（特别提示：投标人须按本招标文件评标信息中“</w:t>
      </w:r>
      <w:r>
        <w:rPr>
          <w:rFonts w:hint="eastAsia"/>
          <w:b/>
          <w:bCs/>
          <w:color w:val="FF0000"/>
          <w:lang w:eastAsia="zh-CN"/>
        </w:rPr>
        <w:t>供应商同类业绩</w:t>
      </w:r>
      <w:r>
        <w:rPr>
          <w:rFonts w:hint="eastAsia"/>
          <w:b/>
          <w:bCs/>
          <w:color w:val="FF0000"/>
        </w:rPr>
        <w:t>”这一评审因素要求，提供详细证明资料）</w:t>
      </w:r>
    </w:p>
    <w:p/>
    <w:p>
      <w:pPr>
        <w:jc w:val="center"/>
        <w:outlineLvl w:val="3"/>
        <w:rPr>
          <w:rFonts w:ascii="黑体" w:hAnsi="黑体" w:eastAsia="黑体" w:cs="黑体"/>
          <w:sz w:val="24"/>
        </w:rPr>
      </w:pPr>
      <w:r>
        <w:rPr>
          <w:rFonts w:hint="eastAsia" w:ascii="黑体" w:hAnsi="黑体" w:eastAsia="黑体" w:cs="黑体"/>
          <w:sz w:val="24"/>
        </w:rPr>
        <w:t>八、服务网点</w:t>
      </w:r>
    </w:p>
    <w:p>
      <w:pPr>
        <w:rPr>
          <w:b/>
          <w:bCs/>
          <w:color w:val="FF0000"/>
        </w:rPr>
      </w:pPr>
      <w:r>
        <w:rPr>
          <w:rFonts w:hint="eastAsia"/>
          <w:b/>
          <w:bCs/>
          <w:color w:val="FF0000"/>
        </w:rPr>
        <w:t>（特别提示：投标人须按本招标文件评标信息中“服务网点”这一评审因素要求，提供证明资料）</w:t>
      </w:r>
    </w:p>
    <w:p>
      <w:pPr>
        <w:pStyle w:val="18"/>
      </w:pPr>
    </w:p>
    <w:p>
      <w:pPr>
        <w:ind w:firstLine="723" w:firstLineChars="300"/>
        <w:rPr>
          <w:b/>
          <w:color w:val="FF0000"/>
          <w:sz w:val="24"/>
        </w:rPr>
      </w:pPr>
      <w:r>
        <w:rPr>
          <w:rFonts w:hint="eastAsia"/>
          <w:b/>
          <w:color w:val="FF0000"/>
          <w:sz w:val="24"/>
        </w:rPr>
        <w:t>（信息公开部分的内容到此为止！以下为信息不公开部分。）</w:t>
      </w:r>
    </w:p>
    <w:bookmarkEnd w:id="64"/>
    <w:p>
      <w:r>
        <w:br w:type="page"/>
      </w:r>
    </w:p>
    <w:p>
      <w:pPr>
        <w:outlineLvl w:val="1"/>
        <w:rPr>
          <w:rFonts w:ascii="宋体" w:hAnsi="宋体"/>
          <w:b/>
          <w:color w:val="FF0000"/>
          <w:sz w:val="28"/>
          <w:szCs w:val="28"/>
        </w:rPr>
      </w:pPr>
      <w:bookmarkStart w:id="67" w:name="_Hlk72260530"/>
      <w:r>
        <w:rPr>
          <w:rFonts w:hint="eastAsia" w:ascii="宋体" w:hAnsi="宋体"/>
          <w:b/>
          <w:color w:val="FF0000"/>
          <w:sz w:val="28"/>
          <w:szCs w:val="28"/>
        </w:rPr>
        <w:t>投标文件附件（信息不公开部分）</w:t>
      </w:r>
    </w:p>
    <w:p>
      <w:pPr>
        <w:pStyle w:val="3"/>
        <w:jc w:val="center"/>
        <w:rPr>
          <w:rFonts w:ascii="黑体" w:eastAsia="黑体"/>
          <w:b w:val="0"/>
          <w:sz w:val="24"/>
        </w:rPr>
      </w:pPr>
      <w:r>
        <w:rPr>
          <w:rFonts w:hint="eastAsia" w:ascii="黑体" w:eastAsia="黑体"/>
          <w:b w:val="0"/>
          <w:sz w:val="24"/>
        </w:rPr>
        <w:t>一、</w:t>
      </w:r>
      <w:bookmarkStart w:id="68" w:name="_Hlk72092499"/>
      <w:r>
        <w:rPr>
          <w:rFonts w:hint="eastAsia" w:ascii="黑体" w:eastAsia="黑体"/>
          <w:b w:val="0"/>
          <w:sz w:val="24"/>
        </w:rPr>
        <w:t>法定代表人（负责人）证明书</w:t>
      </w:r>
      <w:bookmarkEnd w:id="68"/>
    </w:p>
    <w:p>
      <w:pPr>
        <w:rPr>
          <w:sz w:val="24"/>
        </w:rPr>
      </w:pPr>
    </w:p>
    <w:p>
      <w:pPr>
        <w:spacing w:line="360" w:lineRule="auto"/>
        <w:ind w:firstLine="420" w:firstLineChars="200"/>
        <w:rPr>
          <w:szCs w:val="21"/>
        </w:rPr>
      </w:pPr>
      <w:r>
        <w:rPr>
          <w:rFonts w:hint="eastAsia"/>
          <w:szCs w:val="21"/>
          <w:u w:val="single"/>
        </w:rPr>
        <w:t xml:space="preserve">         </w:t>
      </w:r>
      <w:r>
        <w:rPr>
          <w:rFonts w:hint="eastAsia"/>
          <w:szCs w:val="21"/>
        </w:rPr>
        <w:t>同志，身份证号码：</w:t>
      </w:r>
      <w:r>
        <w:rPr>
          <w:rFonts w:hint="eastAsia"/>
          <w:szCs w:val="21"/>
          <w:u w:val="single"/>
        </w:rPr>
        <w:t xml:space="preserve">               </w:t>
      </w:r>
      <w:r>
        <w:rPr>
          <w:rFonts w:hint="eastAsia"/>
          <w:szCs w:val="21"/>
        </w:rPr>
        <w:t>，现任我单位</w:t>
      </w:r>
      <w:r>
        <w:rPr>
          <w:rFonts w:hint="eastAsia"/>
          <w:szCs w:val="21"/>
          <w:u w:val="single"/>
        </w:rPr>
        <w:t xml:space="preserve">         </w:t>
      </w:r>
      <w:r>
        <w:rPr>
          <w:rFonts w:hint="eastAsia"/>
          <w:szCs w:val="21"/>
        </w:rPr>
        <w:t>职务，为法定代表人（负责人），特此证明。</w:t>
      </w:r>
    </w:p>
    <w:p>
      <w:pPr>
        <w:spacing w:line="360" w:lineRule="auto"/>
        <w:rPr>
          <w:szCs w:val="21"/>
        </w:rPr>
      </w:pPr>
    </w:p>
    <w:p>
      <w:pPr>
        <w:spacing w:line="360" w:lineRule="auto"/>
        <w:rPr>
          <w:szCs w:val="21"/>
        </w:rPr>
      </w:pPr>
      <w:r>
        <w:rPr>
          <w:rFonts w:hint="eastAsia"/>
          <w:szCs w:val="21"/>
        </w:rPr>
        <w:t>说明：1、法定代表人为投标人（企业事业单位、国家机关、社会团体）的主要行政负责人。</w:t>
      </w:r>
    </w:p>
    <w:p>
      <w:pPr>
        <w:rPr>
          <w:szCs w:val="21"/>
        </w:rPr>
      </w:pPr>
      <w:r>
        <w:rPr>
          <w:rFonts w:hint="eastAsia"/>
          <w:szCs w:val="21"/>
        </w:rPr>
        <w:t xml:space="preserve">      2、内容必须填写真实、清楚，涂改无效，不得转让、买卖。</w:t>
      </w:r>
    </w:p>
    <w:p>
      <w:pPr>
        <w:spacing w:line="360" w:lineRule="auto"/>
        <w:ind w:firstLine="482" w:firstLineChars="200"/>
        <w:rPr>
          <w:b/>
          <w:bCs/>
          <w:sz w:val="24"/>
        </w:rPr>
      </w:pPr>
    </w:p>
    <w:p>
      <w:pPr>
        <w:pStyle w:val="3"/>
        <w:spacing w:before="120" w:after="120"/>
        <w:jc w:val="center"/>
        <w:rPr>
          <w:rFonts w:ascii="黑体" w:eastAsia="黑体"/>
          <w:b w:val="0"/>
          <w:sz w:val="24"/>
        </w:rPr>
      </w:pPr>
      <w:r>
        <w:rPr>
          <w:rFonts w:hint="eastAsia" w:ascii="黑体" w:eastAsia="黑体"/>
          <w:b w:val="0"/>
          <w:sz w:val="24"/>
        </w:rPr>
        <w:t>二、投标文件签署授权委托书</w:t>
      </w:r>
    </w:p>
    <w:p>
      <w:pPr>
        <w:spacing w:line="360" w:lineRule="auto"/>
        <w:ind w:firstLine="420" w:firstLineChars="200"/>
        <w:rPr>
          <w:szCs w:val="21"/>
        </w:rPr>
      </w:pPr>
      <w:r>
        <w:rPr>
          <w:rFonts w:hint="eastAsia"/>
          <w:szCs w:val="21"/>
        </w:rPr>
        <w:t>本授权委托书声明：我（姓名）</w:t>
      </w:r>
      <w:r>
        <w:rPr>
          <w:rFonts w:hint="eastAsia"/>
          <w:szCs w:val="21"/>
          <w:u w:val="single"/>
        </w:rPr>
        <w:t xml:space="preserve">                   </w:t>
      </w:r>
      <w:r>
        <w:rPr>
          <w:rFonts w:hint="eastAsia"/>
          <w:szCs w:val="21"/>
        </w:rPr>
        <w:t xml:space="preserve"> 系（投标人名称）</w:t>
      </w:r>
      <w:r>
        <w:rPr>
          <w:rFonts w:hint="eastAsia"/>
          <w:szCs w:val="21"/>
          <w:u w:val="single"/>
        </w:rPr>
        <w:t xml:space="preserve">                                    </w:t>
      </w:r>
      <w:r>
        <w:rPr>
          <w:rFonts w:hint="eastAsia"/>
          <w:szCs w:val="21"/>
        </w:rPr>
        <w:t xml:space="preserve">  的法定代表人（负责人），现授权委托（姓名）</w:t>
      </w:r>
      <w:r>
        <w:rPr>
          <w:szCs w:val="21"/>
          <w:u w:val="single"/>
        </w:rPr>
        <w:t xml:space="preserve">                   </w:t>
      </w:r>
      <w:r>
        <w:rPr>
          <w:rFonts w:hint="eastAsia"/>
          <w:szCs w:val="21"/>
        </w:rPr>
        <w:t>为我单位签署本项目已递交的投标文件的法定代表人（负责人）的授权委托代理人，代理人全权代表我所签署的本项目已递交的投标文件内容我均承认。</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pStyle w:val="7"/>
        <w:spacing w:line="360" w:lineRule="auto"/>
        <w:ind w:left="540" w:leftChars="257" w:firstLine="0"/>
        <w:rPr>
          <w:szCs w:val="21"/>
        </w:rPr>
      </w:pPr>
      <w:r>
        <w:rPr>
          <w:rFonts w:hint="eastAsia"/>
          <w:szCs w:val="21"/>
        </w:rPr>
        <w:t>代理人：</w:t>
      </w:r>
      <w:r>
        <w:rPr>
          <w:rFonts w:hint="eastAsia"/>
          <w:szCs w:val="21"/>
          <w:u w:val="single"/>
        </w:rPr>
        <w:t xml:space="preserve">                                    </w:t>
      </w:r>
      <w:r>
        <w:rPr>
          <w:rFonts w:hint="eastAsia"/>
          <w:szCs w:val="21"/>
          <w:u w:val="single"/>
        </w:rPr>
        <w:tab/>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u w:val="single"/>
        </w:rPr>
        <w:tab/>
      </w:r>
      <w:r>
        <w:rPr>
          <w:rFonts w:hint="eastAsia"/>
          <w:szCs w:val="21"/>
        </w:rPr>
        <w:t xml:space="preserve">                邮箱：</w:t>
      </w:r>
      <w:r>
        <w:rPr>
          <w:rFonts w:hint="eastAsia"/>
          <w:szCs w:val="21"/>
          <w:u w:val="single"/>
        </w:rPr>
        <w:t xml:space="preserve">                                    </w:t>
      </w:r>
      <w:r>
        <w:rPr>
          <w:rFonts w:hint="eastAsia"/>
          <w:szCs w:val="21"/>
          <w:u w:val="single"/>
        </w:rPr>
        <w:tab/>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u w:val="single"/>
        </w:rPr>
        <w:tab/>
      </w:r>
      <w:r>
        <w:rPr>
          <w:rFonts w:hint="eastAsia"/>
          <w:szCs w:val="21"/>
        </w:rPr>
        <w:t xml:space="preserve">               职务：</w:t>
      </w:r>
      <w:r>
        <w:rPr>
          <w:rFonts w:hint="eastAsia"/>
          <w:szCs w:val="21"/>
          <w:u w:val="single"/>
        </w:rPr>
        <w:t xml:space="preserve">                                    </w:t>
      </w:r>
      <w:r>
        <w:rPr>
          <w:rFonts w:hint="eastAsia"/>
          <w:szCs w:val="21"/>
          <w:u w:val="single"/>
        </w:rPr>
        <w:tab/>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 xml:space="preserve"> 年</w:t>
      </w:r>
      <w:r>
        <w:rPr>
          <w:rFonts w:hint="eastAsia"/>
          <w:szCs w:val="21"/>
          <w:u w:val="single"/>
        </w:rPr>
        <w:t xml:space="preserve">        </w:t>
      </w:r>
      <w:r>
        <w:rPr>
          <w:rFonts w:hint="eastAsia"/>
          <w:szCs w:val="21"/>
          <w:u w:val="single"/>
        </w:rPr>
        <w:tab/>
      </w:r>
      <w:r>
        <w:rPr>
          <w:rFonts w:hint="eastAsia"/>
          <w:szCs w:val="21"/>
        </w:rPr>
        <w:t xml:space="preserve">月  </w:t>
      </w:r>
      <w:r>
        <w:rPr>
          <w:rFonts w:hint="eastAsia"/>
          <w:szCs w:val="21"/>
          <w:u w:val="single"/>
        </w:rPr>
        <w:t xml:space="preserve">             </w:t>
      </w:r>
      <w:r>
        <w:rPr>
          <w:rFonts w:hint="eastAsia"/>
          <w:szCs w:val="21"/>
          <w:u w:val="single"/>
        </w:rPr>
        <w:tab/>
      </w:r>
      <w:r>
        <w:rPr>
          <w:rFonts w:hint="eastAsia"/>
          <w:szCs w:val="21"/>
        </w:rPr>
        <w:t xml:space="preserve"> 日</w:t>
      </w:r>
    </w:p>
    <w:p/>
    <w:p>
      <w:pPr>
        <w:spacing w:line="360" w:lineRule="auto"/>
        <w:ind w:firstLine="422" w:firstLineChars="200"/>
        <w:rPr>
          <w:b/>
          <w:color w:val="FF0000"/>
          <w:szCs w:val="21"/>
        </w:rPr>
      </w:pPr>
      <w:r>
        <w:rPr>
          <w:rFonts w:hint="eastAsia"/>
          <w:b/>
          <w:color w:val="FF0000"/>
          <w:szCs w:val="21"/>
        </w:rPr>
        <w:t>附： 请提供代理人身份证扫描件（正反两面）；港澳台居民可提供来往通行证扫描件；非中国国籍管辖范围人员，可提供公安部门认可的身份证明材料扫描件。</w:t>
      </w:r>
    </w:p>
    <w:p>
      <w:pPr>
        <w:spacing w:line="360" w:lineRule="auto"/>
        <w:rPr>
          <w:b/>
          <w:szCs w:val="21"/>
        </w:rPr>
      </w:pPr>
    </w:p>
    <w:p>
      <w:pPr>
        <w:pStyle w:val="3"/>
        <w:jc w:val="center"/>
        <w:rPr>
          <w:rFonts w:ascii="黑体" w:eastAsia="黑体"/>
          <w:b w:val="0"/>
          <w:kern w:val="0"/>
          <w:sz w:val="24"/>
          <w:szCs w:val="24"/>
        </w:rPr>
      </w:pPr>
      <w:r>
        <w:rPr>
          <w:rFonts w:hint="eastAsia" w:ascii="黑体" w:eastAsia="黑体"/>
          <w:b w:val="0"/>
          <w:kern w:val="0"/>
          <w:sz w:val="24"/>
          <w:szCs w:val="24"/>
        </w:rPr>
        <w:t>三、</w:t>
      </w:r>
      <w:bookmarkStart w:id="69" w:name="_Hlk72092634"/>
      <w:r>
        <w:rPr>
          <w:rFonts w:hint="eastAsia" w:ascii="黑体" w:eastAsia="黑体"/>
          <w:b w:val="0"/>
          <w:kern w:val="0"/>
          <w:sz w:val="24"/>
          <w:szCs w:val="24"/>
        </w:rPr>
        <w:t>实质性条款响应情况表</w:t>
      </w:r>
      <w:bookmarkEnd w:id="69"/>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5314"/>
        <w:gridCol w:w="1276"/>
        <w:gridCol w:w="812"/>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1" w:type="pct"/>
            <w:vAlign w:val="center"/>
          </w:tcPr>
          <w:p>
            <w:pPr>
              <w:adjustRightInd w:val="0"/>
              <w:snapToGrid w:val="0"/>
              <w:spacing w:line="360" w:lineRule="auto"/>
              <w:jc w:val="center"/>
              <w:rPr>
                <w:rFonts w:ascii="宋体" w:hAnsi="宋体"/>
                <w:kern w:val="0"/>
                <w:szCs w:val="21"/>
              </w:rPr>
            </w:pPr>
            <w:bookmarkStart w:id="70" w:name="_Hlk72092651"/>
            <w:r>
              <w:rPr>
                <w:rFonts w:hint="eastAsia" w:ascii="宋体" w:hAnsi="宋体"/>
                <w:kern w:val="0"/>
                <w:szCs w:val="21"/>
              </w:rPr>
              <w:t>序号</w:t>
            </w:r>
          </w:p>
        </w:tc>
        <w:tc>
          <w:tcPr>
            <w:tcW w:w="3114" w:type="pct"/>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实质性条款具体内容</w:t>
            </w:r>
          </w:p>
        </w:tc>
        <w:tc>
          <w:tcPr>
            <w:tcW w:w="748" w:type="pct"/>
            <w:vAlign w:val="center"/>
          </w:tcPr>
          <w:p>
            <w:pPr>
              <w:adjustRightInd w:val="0"/>
              <w:snapToGrid w:val="0"/>
              <w:spacing w:line="360" w:lineRule="auto"/>
              <w:jc w:val="center"/>
              <w:rPr>
                <w:rFonts w:ascii="宋体" w:hAnsi="宋体"/>
                <w:kern w:val="0"/>
                <w:szCs w:val="21"/>
              </w:rPr>
            </w:pPr>
            <w:r>
              <w:rPr>
                <w:rFonts w:hint="eastAsia"/>
              </w:rPr>
              <w:t>投标响应</w:t>
            </w:r>
          </w:p>
        </w:tc>
        <w:tc>
          <w:tcPr>
            <w:tcW w:w="476" w:type="pct"/>
            <w:vAlign w:val="center"/>
          </w:tcPr>
          <w:p>
            <w:pPr>
              <w:adjustRightInd w:val="0"/>
              <w:snapToGrid w:val="0"/>
              <w:spacing w:line="360" w:lineRule="auto"/>
              <w:jc w:val="center"/>
              <w:rPr>
                <w:rFonts w:ascii="宋体" w:hAnsi="宋体"/>
                <w:kern w:val="0"/>
                <w:szCs w:val="21"/>
              </w:rPr>
            </w:pPr>
            <w:r>
              <w:rPr>
                <w:rFonts w:hint="eastAsia"/>
              </w:rPr>
              <w:t>偏离情况</w:t>
            </w:r>
          </w:p>
        </w:tc>
        <w:tc>
          <w:tcPr>
            <w:tcW w:w="369" w:type="pct"/>
            <w:vAlign w:val="center"/>
          </w:tcPr>
          <w:p>
            <w:pPr>
              <w:adjustRightInd w:val="0"/>
              <w:snapToGrid w:val="0"/>
              <w:spacing w:line="360" w:lineRule="auto"/>
              <w:jc w:val="center"/>
              <w:rPr>
                <w:rFonts w:ascii="宋体" w:hAnsi="宋体"/>
                <w:kern w:val="0"/>
                <w:szCs w:val="21"/>
              </w:rPr>
            </w:pPr>
            <w:r>
              <w:rPr>
                <w:rFonts w:hint="eastAsia"/>
              </w:rPr>
              <w:t>说明</w:t>
            </w:r>
          </w:p>
        </w:tc>
      </w:tr>
      <w:bookmark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3114" w:type="pct"/>
            <w:vAlign w:val="center"/>
          </w:tcPr>
          <w:p>
            <w:pPr>
              <w:adjustRightInd w:val="0"/>
              <w:snapToGrid w:val="0"/>
              <w:spacing w:line="360" w:lineRule="auto"/>
              <w:jc w:val="left"/>
              <w:rPr>
                <w:rFonts w:hAnsi="宋体"/>
                <w:kern w:val="0"/>
                <w:szCs w:val="21"/>
              </w:rPr>
            </w:pPr>
            <w:r>
              <w:rPr>
                <w:rFonts w:hint="eastAsia"/>
              </w:rPr>
              <w:t>满足本项目标★的条款要求</w:t>
            </w:r>
          </w:p>
        </w:tc>
        <w:tc>
          <w:tcPr>
            <w:tcW w:w="748" w:type="pct"/>
          </w:tcPr>
          <w:p>
            <w:pPr>
              <w:adjustRightInd w:val="0"/>
              <w:snapToGrid w:val="0"/>
              <w:spacing w:line="360" w:lineRule="auto"/>
              <w:rPr>
                <w:rFonts w:ascii="宋体" w:hAnsi="宋体"/>
                <w:kern w:val="0"/>
                <w:szCs w:val="21"/>
              </w:rPr>
            </w:pPr>
          </w:p>
        </w:tc>
        <w:tc>
          <w:tcPr>
            <w:tcW w:w="476" w:type="pct"/>
          </w:tcPr>
          <w:p>
            <w:pPr>
              <w:adjustRightInd w:val="0"/>
              <w:snapToGrid w:val="0"/>
              <w:spacing w:line="360" w:lineRule="auto"/>
              <w:rPr>
                <w:rFonts w:ascii="宋体" w:hAnsi="宋体"/>
                <w:kern w:val="0"/>
                <w:szCs w:val="21"/>
              </w:rPr>
            </w:pPr>
          </w:p>
        </w:tc>
        <w:tc>
          <w:tcPr>
            <w:tcW w:w="369" w:type="pct"/>
          </w:tcPr>
          <w:p>
            <w:pPr>
              <w:adjustRightInd w:val="0"/>
              <w:snapToGrid w:val="0"/>
              <w:spacing w:line="360" w:lineRule="auto"/>
              <w:rPr>
                <w:rFonts w:ascii="宋体" w:hAnsi="宋体"/>
                <w:kern w:val="0"/>
                <w:szCs w:val="21"/>
              </w:rPr>
            </w:pPr>
          </w:p>
        </w:tc>
      </w:tr>
    </w:tbl>
    <w:p>
      <w:pPr>
        <w:ind w:firstLine="482" w:firstLineChars="200"/>
        <w:rPr>
          <w:b/>
          <w:sz w:val="24"/>
          <w:szCs w:val="22"/>
        </w:rPr>
      </w:pPr>
    </w:p>
    <w:p>
      <w:pPr>
        <w:ind w:firstLine="482" w:firstLineChars="200"/>
        <w:rPr>
          <w:b/>
          <w:sz w:val="24"/>
          <w:szCs w:val="22"/>
        </w:rPr>
      </w:pPr>
      <w:r>
        <w:rPr>
          <w:rFonts w:hint="eastAsia"/>
          <w:b/>
          <w:sz w:val="24"/>
          <w:szCs w:val="22"/>
        </w:rPr>
        <w:t>注：1. 上表所列各项均为不可负偏离条款。</w:t>
      </w:r>
    </w:p>
    <w:p>
      <w:pPr>
        <w:ind w:firstLine="482" w:firstLineChars="200"/>
        <w:rPr>
          <w:b/>
          <w:sz w:val="24"/>
          <w:szCs w:val="22"/>
        </w:rPr>
      </w:pPr>
      <w:r>
        <w:rPr>
          <w:rFonts w:hint="eastAsia"/>
          <w:b/>
          <w:sz w:val="24"/>
          <w:szCs w:val="22"/>
        </w:rPr>
        <w:t>2.“投标响应”一栏应当详细填写投标人自身响应情况，而不能不合理照搬照抄招实质性条款具体内容。</w:t>
      </w:r>
    </w:p>
    <w:p>
      <w:pPr>
        <w:ind w:firstLine="482" w:firstLineChars="200"/>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pPr>
        <w:ind w:firstLine="482" w:firstLineChars="200"/>
        <w:rPr>
          <w:sz w:val="24"/>
        </w:rPr>
      </w:pPr>
      <w:r>
        <w:rPr>
          <w:b/>
          <w:sz w:val="24"/>
        </w:rPr>
        <w:t>4.</w:t>
      </w:r>
      <w:r>
        <w:rPr>
          <w:rFonts w:hint="eastAsia"/>
          <w:b/>
          <w:sz w:val="24"/>
        </w:rPr>
        <w:t>评审委员会有权根据实质性条款响应情况作出评判。</w:t>
      </w:r>
      <w:bookmarkEnd w:id="67"/>
    </w:p>
    <w:p>
      <w:pPr>
        <w:pStyle w:val="3"/>
        <w:jc w:val="center"/>
        <w:rPr>
          <w:sz w:val="24"/>
        </w:rPr>
      </w:pPr>
      <w:r>
        <w:rPr>
          <w:rFonts w:hint="eastAsia" w:ascii="黑体" w:eastAsia="黑体"/>
          <w:b w:val="0"/>
          <w:sz w:val="24"/>
          <w:szCs w:val="24"/>
        </w:rPr>
        <w:t>四、技术要求偏离表</w:t>
      </w:r>
    </w:p>
    <w:tbl>
      <w:tblPr>
        <w:tblStyle w:val="4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766"/>
        <w:gridCol w:w="4577"/>
        <w:gridCol w:w="1050"/>
        <w:gridCol w:w="773"/>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序号</w:t>
            </w:r>
          </w:p>
        </w:tc>
        <w:tc>
          <w:tcPr>
            <w:tcW w:w="766" w:type="dxa"/>
            <w:vAlign w:val="center"/>
          </w:tcPr>
          <w:p>
            <w:r>
              <w:rPr>
                <w:rFonts w:hint="eastAsia"/>
              </w:rPr>
              <w:t>货物名称</w:t>
            </w:r>
          </w:p>
        </w:tc>
        <w:tc>
          <w:tcPr>
            <w:tcW w:w="4577" w:type="dxa"/>
            <w:vAlign w:val="center"/>
          </w:tcPr>
          <w:p>
            <w:r>
              <w:rPr>
                <w:rFonts w:hint="eastAsia"/>
              </w:rPr>
              <w:t>招标技术要求</w:t>
            </w:r>
          </w:p>
        </w:tc>
        <w:tc>
          <w:tcPr>
            <w:tcW w:w="1050" w:type="dxa"/>
            <w:vAlign w:val="center"/>
          </w:tcPr>
          <w:p>
            <w:pPr>
              <w:jc w:val="center"/>
              <w:rPr>
                <w:rFonts w:hint="eastAsia"/>
              </w:rPr>
            </w:pPr>
            <w:r>
              <w:rPr>
                <w:rFonts w:hint="eastAsia"/>
                <w:sz w:val="24"/>
              </w:rPr>
              <w:t>投标技术响应</w:t>
            </w:r>
          </w:p>
        </w:tc>
        <w:tc>
          <w:tcPr>
            <w:tcW w:w="773" w:type="dxa"/>
            <w:vAlign w:val="center"/>
          </w:tcPr>
          <w:p>
            <w:pPr>
              <w:jc w:val="center"/>
              <w:rPr>
                <w:rFonts w:hint="eastAsia"/>
              </w:rPr>
            </w:pPr>
            <w:r>
              <w:rPr>
                <w:rFonts w:hint="eastAsia"/>
                <w:sz w:val="24"/>
              </w:rPr>
              <w:t>偏离情况</w:t>
            </w:r>
          </w:p>
        </w:tc>
        <w:tc>
          <w:tcPr>
            <w:tcW w:w="807" w:type="dxa"/>
            <w:vAlign w:val="center"/>
          </w:tcPr>
          <w:p>
            <w:pPr>
              <w:jc w:val="center"/>
              <w:rPr>
                <w:rFonts w:hint="eastAsia"/>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899" w:type="dxa"/>
            <w:gridSpan w:val="3"/>
            <w:vAlign w:val="center"/>
          </w:tcPr>
          <w:p>
            <w:r>
              <w:rPr>
                <w:rFonts w:hint="eastAsia"/>
              </w:rPr>
              <w:t>第一部分：智慧口岸运行指挥中心</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56" w:type="dxa"/>
            <w:noWrap/>
            <w:vAlign w:val="center"/>
          </w:tcPr>
          <w:p>
            <w:r>
              <w:rPr>
                <w:rFonts w:hint="eastAsia"/>
              </w:rPr>
              <w:t>一</w:t>
            </w:r>
          </w:p>
        </w:tc>
        <w:tc>
          <w:tcPr>
            <w:tcW w:w="5343" w:type="dxa"/>
            <w:gridSpan w:val="2"/>
            <w:vAlign w:val="center"/>
          </w:tcPr>
          <w:p>
            <w:r>
              <w:rPr>
                <w:rFonts w:hint="eastAsia"/>
              </w:rPr>
              <w:t>指挥大厅信息化系统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vAlign w:val="center"/>
          </w:tcPr>
          <w:p>
            <w:r>
              <w:rPr>
                <w:rFonts w:hint="eastAsia"/>
              </w:rPr>
              <w:t>LED显示大屏系统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w:t>
            </w:r>
          </w:p>
        </w:tc>
        <w:tc>
          <w:tcPr>
            <w:tcW w:w="766" w:type="dxa"/>
            <w:vMerge w:val="restart"/>
            <w:vAlign w:val="center"/>
          </w:tcPr>
          <w:p>
            <w:r>
              <w:rPr>
                <w:rFonts w:hint="eastAsia"/>
              </w:rPr>
              <w:t>小间距LED显示屏</w:t>
            </w:r>
          </w:p>
        </w:tc>
        <w:tc>
          <w:tcPr>
            <w:tcW w:w="4577" w:type="dxa"/>
            <w:vAlign w:val="center"/>
          </w:tcPr>
          <w:p>
            <w:r>
              <w:rPr>
                <w:rFonts w:hint="eastAsia"/>
              </w:rPr>
              <w:t>★1、像素间距＜1.57mm；屏幕面积≥80㎡；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▲2、采用COB倒装封装，采用RGB芯片全倒装技术，晶片直接焊在PCB上，无焊线，散热好，支持巨量转移技术；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3、整屏分辨率≥8448点×3888点；像素密度≥409600点/㎡；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4、对比度：10000:1；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5、一体化压铸铝箱体设计，箱体背板为一次性整体压铸成型，背板和后盖均为压铸铝或铝镁合金材质，全金属自然散热结构，静音无风扇；LED箱体支持X/Y/Z六向调节；外壳防尘等级达到IP5X；</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6、刷新率：≥3840Hz；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lang w:bidi="ar"/>
              </w:rPr>
              <w:t>▲7、采用EBL+技术(enhance black level）,超黑底色，哑面处理，提高屏体的黑色水平，增强屏体的对比度，同时提升观看的舒适度、降低触摸痕迹（提供第三方检测机构出具的检测报告扫描件，原件备查）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lang w:bidi="ar"/>
              </w:rPr>
              <w:t>▲8、光生物安全及低蓝光要求：按 GB/T 20145-2006灯和灯系统的光生物安全性辐亮度无危险标准：辐亮度≤1W/（㎡×sr)符合RG0等级，属于无危害类；对视网膜蓝光危害LB≤1W.m-2.sr-1,属于蓝光无危害（提供第三方检测机构出具的检测报告扫描件，原件备查）</w:t>
            </w:r>
          </w:p>
        </w:tc>
        <w:tc>
          <w:tcPr>
            <w:tcW w:w="1050" w:type="dxa"/>
            <w:noWrap/>
            <w:vAlign w:val="center"/>
          </w:tcPr>
          <w:p>
            <w:pPr>
              <w:rPr>
                <w:rFonts w:hint="eastAsia"/>
                <w:b/>
                <w:bCs/>
                <w:color w:val="FF0000"/>
                <w:lang w:bidi="ar"/>
              </w:rPr>
            </w:pPr>
          </w:p>
        </w:tc>
        <w:tc>
          <w:tcPr>
            <w:tcW w:w="773" w:type="dxa"/>
            <w:noWrap/>
            <w:vAlign w:val="center"/>
          </w:tcPr>
          <w:p>
            <w:pPr>
              <w:rPr>
                <w:rFonts w:hint="eastAsia"/>
                <w:b/>
                <w:bCs/>
                <w:color w:val="FF0000"/>
                <w:lang w:bidi="ar"/>
              </w:rPr>
            </w:pPr>
          </w:p>
        </w:tc>
        <w:tc>
          <w:tcPr>
            <w:tcW w:w="807" w:type="dxa"/>
            <w:noWrap/>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lang w:bidi="ar"/>
              </w:rPr>
            </w:pPr>
            <w:r>
              <w:rPr>
                <w:rFonts w:hint="eastAsia"/>
                <w:b/>
                <w:bCs/>
                <w:color w:val="FF0000"/>
                <w:lang w:bidi="ar"/>
              </w:rPr>
              <w:t>9 显示效果：发光面光泽度≤10GU，反光率≤5%，墨色一致性△E＜0.5，色准△E＜0.9，面光源设计有效抑制 90%摩尔纹（提供第三方检测机构出具的检测报告扫描件，原件备查）</w:t>
            </w:r>
          </w:p>
        </w:tc>
        <w:tc>
          <w:tcPr>
            <w:tcW w:w="1050" w:type="dxa"/>
            <w:noWrap/>
            <w:vAlign w:val="center"/>
          </w:tcPr>
          <w:p>
            <w:pPr>
              <w:rPr>
                <w:rFonts w:hint="eastAsia"/>
                <w:b/>
                <w:bCs/>
                <w:color w:val="FF0000"/>
                <w:lang w:bidi="ar"/>
              </w:rPr>
            </w:pPr>
          </w:p>
        </w:tc>
        <w:tc>
          <w:tcPr>
            <w:tcW w:w="773" w:type="dxa"/>
            <w:noWrap/>
            <w:vAlign w:val="center"/>
          </w:tcPr>
          <w:p>
            <w:pPr>
              <w:rPr>
                <w:rFonts w:hint="eastAsia"/>
                <w:b/>
                <w:bCs/>
                <w:color w:val="FF0000"/>
                <w:lang w:bidi="ar"/>
              </w:rPr>
            </w:pPr>
          </w:p>
        </w:tc>
        <w:tc>
          <w:tcPr>
            <w:tcW w:w="807" w:type="dxa"/>
            <w:noWrap/>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lang w:bidi="ar"/>
              </w:rPr>
            </w:pPr>
            <w:r>
              <w:rPr>
                <w:rFonts w:hint="eastAsia"/>
                <w:b/>
                <w:bCs/>
                <w:color w:val="FF0000"/>
                <w:lang w:bidi="ar"/>
              </w:rPr>
              <w:t>▲10、产品符合CESI产品认证实施规则，符合CESI-PC-OD66中8K超清显示要求（提供证书扫描件，原件备查）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lang w:bidi="ar"/>
              </w:rPr>
            </w:pPr>
            <w:r>
              <w:rPr>
                <w:rFonts w:hint="eastAsia"/>
                <w:b/>
                <w:bCs/>
                <w:color w:val="FF0000"/>
                <w:lang w:bidi="ar"/>
              </w:rPr>
              <w:t>▲11、为保障色彩呈现，所投屏体依据CESI/TS 011-2018认证标准和技术要求，符合色彩品质A级评定，并提供证书扫描件，原件备查。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lang w:bidi="ar"/>
              </w:rPr>
            </w:pPr>
            <w:r>
              <w:rPr>
                <w:rFonts w:hint="eastAsia"/>
                <w:b/>
                <w:bCs/>
                <w:color w:val="FF0000"/>
                <w:lang w:bidi="ar"/>
              </w:rPr>
              <w:t>▲12、提供原厂售后服务承诺函</w:t>
            </w:r>
            <w:r>
              <w:rPr>
                <w:rFonts w:hint="eastAsia"/>
                <w:b/>
                <w:bCs/>
                <w:color w:val="FF0000"/>
                <w:lang w:val="en-US" w:eastAsia="zh-CN" w:bidi="ar"/>
              </w:rPr>
              <w:t>扫描件</w:t>
            </w:r>
            <w:r>
              <w:rPr>
                <w:rFonts w:hint="eastAsia"/>
                <w:b/>
                <w:bCs/>
                <w:color w:val="FF0000"/>
                <w:lang w:eastAsia="zh-CN" w:bidi="ar"/>
              </w:rPr>
              <w:t>（</w:t>
            </w:r>
            <w:r>
              <w:rPr>
                <w:rFonts w:hint="eastAsia"/>
                <w:b/>
                <w:bCs/>
                <w:color w:val="FF0000"/>
                <w:lang w:bidi="ar"/>
              </w:rPr>
              <w:t>免费保修期</w:t>
            </w:r>
            <w:r>
              <w:rPr>
                <w:rFonts w:hint="eastAsia"/>
                <w:b/>
                <w:bCs/>
                <w:color w:val="FF0000"/>
                <w:lang w:val="en-US" w:eastAsia="zh-CN" w:bidi="ar"/>
              </w:rPr>
              <w:t>满足商务条款要求</w:t>
            </w:r>
            <w:r>
              <w:rPr>
                <w:rFonts w:hint="eastAsia"/>
                <w:b/>
                <w:bCs/>
                <w:color w:val="FF0000"/>
                <w:lang w:eastAsia="zh-CN" w:bidi="ar"/>
              </w:rPr>
              <w:t>）</w:t>
            </w:r>
            <w:r>
              <w:rPr>
                <w:rFonts w:hint="eastAsia"/>
                <w:b/>
                <w:bCs/>
                <w:color w:val="FF0000"/>
                <w:lang w:bidi="ar"/>
              </w:rPr>
              <w:t>，原件备查。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1.2</w:t>
            </w:r>
          </w:p>
        </w:tc>
        <w:tc>
          <w:tcPr>
            <w:tcW w:w="766" w:type="dxa"/>
            <w:vMerge w:val="restart"/>
            <w:vAlign w:val="center"/>
          </w:tcPr>
          <w:p>
            <w:r>
              <w:rPr>
                <w:rFonts w:hint="eastAsia"/>
              </w:rPr>
              <w:t>4K发送盒</w:t>
            </w:r>
          </w:p>
        </w:tc>
        <w:tc>
          <w:tcPr>
            <w:tcW w:w="4577" w:type="dxa"/>
            <w:vAlign w:val="center"/>
          </w:tcPr>
          <w:p>
            <w:r>
              <w:rPr>
                <w:rFonts w:hint="eastAsia"/>
              </w:rPr>
              <w:t>1、输入接口：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DVI×4，单链路DVI输入，每路支持≥1920×1200@60HZ视频源输入，向下兼容；支持自定义分辨率宽≥2048、高≥2048；</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HDMI2.0×1，支持≥3840×2160@60HZ分辨率视频源输入，向下兼容；支持HDCP1.4和EDID1.4；支持分辨率预设；支持自定义分辨率宽≥8192、高≥8192；</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3G-SDI×1，支持≥1920×1080@60HZ分辨率视频源输入，向下兼容，支持去隔行；</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2、输出接口：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网口×16，16路千兆网口输出，带载≥1040万像素；极限带载宽≥16384、高≥8192；</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OPT1-4×4，4路10G光纤输出接口，OPT1传输1-8路网口数据；OPT2传输9-16路网口数据；OPT3为OPT1或1-8路网口的复制通道；OPT4为OPT2或9-16路网口的复制通道；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lang w:bidi="ar"/>
              </w:rPr>
              <w:t>▲3、系统支持windows、liux、麒麟等不同操作系统；可在相同或者不同操作系统间操作。（提供第三方检测机构出具的检测报告扫描件，原件备查）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▲4、与显示屏厂家为同一品牌</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1.3</w:t>
            </w:r>
          </w:p>
        </w:tc>
        <w:tc>
          <w:tcPr>
            <w:tcW w:w="766" w:type="dxa"/>
            <w:vMerge w:val="restart"/>
            <w:vAlign w:val="center"/>
          </w:tcPr>
          <w:p>
            <w:r>
              <w:rPr>
                <w:rFonts w:hint="eastAsia"/>
              </w:rPr>
              <w:t>接收卡</w:t>
            </w:r>
          </w:p>
        </w:tc>
        <w:tc>
          <w:tcPr>
            <w:tcW w:w="4577" w:type="dxa"/>
            <w:vAlign w:val="center"/>
          </w:tcPr>
          <w:p>
            <w:r>
              <w:rPr>
                <w:rFonts w:hint="eastAsia"/>
              </w:rPr>
              <w:t>1、接收卡支持3D功能；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2、支持接收卡预存画面设置，可将指定图片设置为显示屏的开机画面、网线断开或无视频源信号时的画面，确保显示屏无黑屏，画面无缝衔接。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1.4</w:t>
            </w:r>
          </w:p>
        </w:tc>
        <w:tc>
          <w:tcPr>
            <w:tcW w:w="766" w:type="dxa"/>
            <w:vMerge w:val="restart"/>
            <w:vAlign w:val="center"/>
          </w:tcPr>
          <w:p>
            <w:r>
              <w:rPr>
                <w:rFonts w:hint="eastAsia"/>
              </w:rPr>
              <w:t>LED显示屏控制系统</w:t>
            </w:r>
          </w:p>
        </w:tc>
        <w:tc>
          <w:tcPr>
            <w:tcW w:w="4577" w:type="dxa"/>
            <w:vAlign w:val="center"/>
          </w:tcPr>
          <w:p>
            <w:r>
              <w:rPr>
                <w:rFonts w:hint="eastAsia"/>
              </w:rPr>
              <w:t>支持视频、音频、图像、文字、Flash、Gif等形式的媒体文件播放；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支持Microsoft office的Word、Excel、PPT显示；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支持时钟、计时、天气预报显示；支持外部视频信号（TV、AV、S-Video、复合视频）播放；支持多页面多分区节目编辑；</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软件提供了丰富灵活的视频切换功能、分区特效，以及三维特效动画。</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lang w:bidi="ar"/>
              </w:rPr>
            </w:pPr>
            <w:r>
              <w:rPr>
                <w:rFonts w:hint="eastAsia"/>
                <w:b/>
                <w:bCs/>
                <w:color w:val="FF0000"/>
                <w:lang w:bidi="ar"/>
              </w:rPr>
              <w:t>▲系统提供LED测试工具，用于测试屏幕坏点、屏幕色差及屏幕同步等可能故障信息。（提供第三方检测机构出具的检测报告扫描件，原件备查）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lang w:bidi="ar"/>
              </w:rPr>
            </w:pPr>
            <w:r>
              <w:rPr>
                <w:rFonts w:hint="eastAsia"/>
                <w:b/>
                <w:bCs/>
                <w:color w:val="FF0000"/>
                <w:lang w:bidi="ar"/>
              </w:rPr>
              <w:t>▲支持拼接控制器IP解码卡和硬件解码矩阵对接来实现对视频流媒体平台的视频信号解码。（提供第三方检测机构出具的检测报告扫描件，原件备查）</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与LED屏为同一品牌。（需提供软件著作权证书扫描件）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1.5</w:t>
            </w:r>
          </w:p>
        </w:tc>
        <w:tc>
          <w:tcPr>
            <w:tcW w:w="766" w:type="dxa"/>
            <w:vMerge w:val="restart"/>
            <w:vAlign w:val="center"/>
          </w:tcPr>
          <w:p>
            <w:r>
              <w:rPr>
                <w:rFonts w:hint="eastAsia"/>
              </w:rPr>
              <w:t>配电箱</w:t>
            </w:r>
          </w:p>
        </w:tc>
        <w:tc>
          <w:tcPr>
            <w:tcW w:w="4577" w:type="dxa"/>
            <w:vAlign w:val="center"/>
          </w:tcPr>
          <w:p>
            <w:r>
              <w:rPr>
                <w:rFonts w:hint="eastAsia"/>
              </w:rPr>
              <w:t>1.屏体和设备电源供应及电源管理，≥60KW户内智能配电箱，具有防静电、抗震动、防电磁干扰、抗雷击等功能，具有电源过压、过流、断电保护、分布上电措施，具有实时监控温度、故障报警功能。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lang w:bidi="ar"/>
              </w:rPr>
              <w:t>2.所投智能配电管理系统软件与LED屏体</w:t>
            </w:r>
            <w:r>
              <w:rPr>
                <w:rFonts w:hint="eastAsia"/>
                <w:b/>
                <w:bCs/>
                <w:color w:val="FF0000"/>
                <w:lang w:eastAsia="zh-CN" w:bidi="ar"/>
              </w:rPr>
              <w:t>（小间距LED显示屏，</w:t>
            </w:r>
            <w:r>
              <w:rPr>
                <w:rFonts w:hint="eastAsia"/>
                <w:b/>
                <w:bCs/>
                <w:color w:val="FF0000"/>
                <w:lang w:val="en-US" w:eastAsia="zh-CN" w:bidi="ar"/>
              </w:rPr>
              <w:t>以分项报价表所填报品牌为准</w:t>
            </w:r>
            <w:r>
              <w:rPr>
                <w:rFonts w:hint="eastAsia"/>
                <w:b/>
                <w:bCs/>
                <w:color w:val="FF0000"/>
                <w:lang w:eastAsia="zh-CN" w:bidi="ar"/>
              </w:rPr>
              <w:t>）</w:t>
            </w:r>
            <w:r>
              <w:rPr>
                <w:rFonts w:hint="eastAsia"/>
                <w:b/>
                <w:bCs/>
                <w:color w:val="FF0000"/>
                <w:lang w:bidi="ar"/>
              </w:rPr>
              <w:t>为同一厂家，提供智能配电管理系统软件</w:t>
            </w:r>
            <w:r>
              <w:rPr>
                <w:rFonts w:hint="eastAsia"/>
                <w:b/>
                <w:bCs/>
                <w:color w:val="FF0000"/>
                <w:lang w:eastAsia="zh-CN" w:bidi="ar"/>
              </w:rPr>
              <w:t>的</w:t>
            </w:r>
            <w:r>
              <w:rPr>
                <w:rFonts w:hint="eastAsia"/>
                <w:b/>
                <w:bCs/>
                <w:color w:val="FF0000"/>
                <w:lang w:val="en-US" w:eastAsia="zh-CN" w:bidi="ar"/>
              </w:rPr>
              <w:t>计算机</w:t>
            </w:r>
            <w:r>
              <w:rPr>
                <w:rFonts w:hint="eastAsia"/>
                <w:b/>
                <w:bCs/>
                <w:color w:val="FF0000"/>
                <w:lang w:bidi="ar"/>
              </w:rPr>
              <w:t>软件著作权</w:t>
            </w:r>
            <w:r>
              <w:rPr>
                <w:rFonts w:hint="eastAsia"/>
                <w:b/>
                <w:bCs/>
                <w:color w:val="FF0000"/>
                <w:lang w:val="en-US" w:eastAsia="zh-CN" w:bidi="ar"/>
              </w:rPr>
              <w:t>登记</w:t>
            </w:r>
            <w:r>
              <w:rPr>
                <w:rFonts w:hint="eastAsia"/>
                <w:b/>
                <w:bCs/>
                <w:color w:val="FF0000"/>
                <w:lang w:bidi="ar"/>
              </w:rPr>
              <w:t>证书。</w:t>
            </w:r>
          </w:p>
        </w:tc>
        <w:tc>
          <w:tcPr>
            <w:tcW w:w="1050" w:type="dxa"/>
            <w:vAlign w:val="center"/>
          </w:tcPr>
          <w:p>
            <w:pPr>
              <w:rPr>
                <w:rFonts w:hint="eastAsia"/>
                <w:b/>
                <w:bCs/>
                <w:color w:val="FF0000"/>
                <w:lang w:bidi="ar"/>
              </w:rPr>
            </w:pPr>
          </w:p>
        </w:tc>
        <w:tc>
          <w:tcPr>
            <w:tcW w:w="773" w:type="dxa"/>
            <w:vAlign w:val="center"/>
          </w:tcPr>
          <w:p>
            <w:pPr>
              <w:rPr>
                <w:rFonts w:hint="eastAsia"/>
                <w:b/>
                <w:bCs/>
                <w:color w:val="FF0000"/>
                <w:lang w:bidi="ar"/>
              </w:rPr>
            </w:pPr>
          </w:p>
        </w:tc>
        <w:tc>
          <w:tcPr>
            <w:tcW w:w="807" w:type="dxa"/>
            <w:vAlign w:val="center"/>
          </w:tcPr>
          <w:p>
            <w:pPr>
              <w:rPr>
                <w:rFonts w:hint="eastAsia"/>
                <w:b/>
                <w:bCs/>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1.6</w:t>
            </w:r>
          </w:p>
        </w:tc>
        <w:tc>
          <w:tcPr>
            <w:tcW w:w="766" w:type="dxa"/>
            <w:vAlign w:val="center"/>
          </w:tcPr>
          <w:p>
            <w:r>
              <w:rPr>
                <w:rFonts w:hint="eastAsia"/>
              </w:rPr>
              <w:t>分线箱</w:t>
            </w:r>
          </w:p>
        </w:tc>
        <w:tc>
          <w:tcPr>
            <w:tcW w:w="4577" w:type="dxa"/>
            <w:noWrap/>
            <w:vAlign w:val="center"/>
          </w:tcPr>
          <w:p>
            <w:r>
              <w:rPr>
                <w:rFonts w:hint="eastAsia"/>
              </w:rPr>
              <w:t>20KW分线箱，带PLC分步上电功能。</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1.7</w:t>
            </w:r>
          </w:p>
        </w:tc>
        <w:tc>
          <w:tcPr>
            <w:tcW w:w="766" w:type="dxa"/>
            <w:vAlign w:val="center"/>
          </w:tcPr>
          <w:p>
            <w:r>
              <w:rPr>
                <w:rFonts w:hint="eastAsia"/>
              </w:rPr>
              <w:t>主电缆</w:t>
            </w:r>
          </w:p>
        </w:tc>
        <w:tc>
          <w:tcPr>
            <w:tcW w:w="4577" w:type="dxa"/>
            <w:noWrap/>
            <w:vAlign w:val="center"/>
          </w:tcPr>
          <w:p>
            <w:r>
              <w:rPr>
                <w:rFonts w:hint="eastAsia"/>
              </w:rPr>
              <w:t>国标YJV4×50+1×25mm2；</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1.8</w:t>
            </w:r>
          </w:p>
        </w:tc>
        <w:tc>
          <w:tcPr>
            <w:tcW w:w="766" w:type="dxa"/>
            <w:vAlign w:val="center"/>
          </w:tcPr>
          <w:p>
            <w:r>
              <w:rPr>
                <w:rFonts w:hint="eastAsia"/>
              </w:rPr>
              <w:t>次电缆</w:t>
            </w:r>
          </w:p>
        </w:tc>
        <w:tc>
          <w:tcPr>
            <w:tcW w:w="4577" w:type="dxa"/>
            <w:noWrap/>
            <w:vAlign w:val="center"/>
          </w:tcPr>
          <w:p>
            <w:r>
              <w:rPr>
                <w:rFonts w:hint="eastAsia"/>
              </w:rPr>
              <w:t>国标YJY5×16mm2；</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1.9</w:t>
            </w:r>
          </w:p>
        </w:tc>
        <w:tc>
          <w:tcPr>
            <w:tcW w:w="766" w:type="dxa"/>
            <w:vAlign w:val="center"/>
          </w:tcPr>
          <w:p>
            <w:r>
              <w:rPr>
                <w:rFonts w:hint="eastAsia"/>
              </w:rPr>
              <w:t>动力线及信号线</w:t>
            </w:r>
          </w:p>
        </w:tc>
        <w:tc>
          <w:tcPr>
            <w:tcW w:w="4577" w:type="dxa"/>
            <w:vAlign w:val="center"/>
          </w:tcPr>
          <w:p>
            <w:r>
              <w:rPr>
                <w:rFonts w:hint="eastAsia"/>
              </w:rPr>
              <w:t>满足大屏需要的LED电力电缆、信号网络电缆、HDMI/DVI线材等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 xml:space="preserve">1.10 </w:t>
            </w:r>
          </w:p>
        </w:tc>
        <w:tc>
          <w:tcPr>
            <w:tcW w:w="766" w:type="dxa"/>
            <w:vAlign w:val="center"/>
          </w:tcPr>
          <w:p>
            <w:r>
              <w:rPr>
                <w:rFonts w:hint="eastAsia"/>
              </w:rPr>
              <w:t>屏体结构</w:t>
            </w:r>
          </w:p>
        </w:tc>
        <w:tc>
          <w:tcPr>
            <w:tcW w:w="4577" w:type="dxa"/>
            <w:vAlign w:val="center"/>
          </w:tcPr>
          <w:p>
            <w:r>
              <w:rPr>
                <w:rFonts w:hint="eastAsia"/>
              </w:rPr>
              <w:t>定制内弧形铝型材安装结构及铝塑板包边装饰，定制铝型材安装结构，满足整面LED显示屏安装固定需要；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shd w:val="clear" w:color="auto" w:fill="auto"/>
            <w:noWrap/>
            <w:vAlign w:val="center"/>
          </w:tcPr>
          <w:p>
            <w:r>
              <w:rPr>
                <w:rFonts w:hint="eastAsia"/>
              </w:rPr>
              <w:t>1.11</w:t>
            </w:r>
          </w:p>
        </w:tc>
        <w:tc>
          <w:tcPr>
            <w:tcW w:w="766" w:type="dxa"/>
            <w:vMerge w:val="restart"/>
            <w:shd w:val="clear" w:color="000000" w:fill="FFFFFF"/>
            <w:vAlign w:val="center"/>
          </w:tcPr>
          <w:p>
            <w:r>
              <w:rPr>
                <w:rFonts w:hint="eastAsia"/>
              </w:rPr>
              <w:t>专业图形工作站</w:t>
            </w:r>
          </w:p>
        </w:tc>
        <w:tc>
          <w:tcPr>
            <w:tcW w:w="4577" w:type="dxa"/>
            <w:shd w:val="clear" w:color="000000" w:fill="FFFFFF"/>
            <w:vAlign w:val="center"/>
          </w:tcPr>
          <w:p>
            <w:r>
              <w:rPr>
                <w:rFonts w:hint="eastAsia"/>
              </w:rPr>
              <w:t>1、显卡:≥32G；支持8K输出</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2、CPU ≥3.0Ghz；</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3、内存：≥</w:t>
            </w:r>
            <w:r>
              <w:t>64</w:t>
            </w:r>
            <w:r>
              <w:rPr>
                <w:rFonts w:hint="eastAsia"/>
              </w:rPr>
              <w:t>GB；</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4、机械硬盘：≥4TB ；</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5、千兆网卡；</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6、预装操作系统</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noWrap/>
            <w:vAlign w:val="center"/>
          </w:tcPr>
          <w:p>
            <w:r>
              <w:rPr>
                <w:rFonts w:hint="eastAsia"/>
              </w:rPr>
              <w:t>7、包含1台≥23.8英寸显示器</w:t>
            </w:r>
          </w:p>
        </w:tc>
        <w:tc>
          <w:tcPr>
            <w:tcW w:w="1050" w:type="dxa"/>
            <w:shd w:val="clear" w:color="000000" w:fill="FFFFFF"/>
            <w:noWrap/>
            <w:vAlign w:val="center"/>
          </w:tcPr>
          <w:p>
            <w:pPr>
              <w:rPr>
                <w:rFonts w:hint="eastAsia"/>
              </w:rPr>
            </w:pPr>
          </w:p>
        </w:tc>
        <w:tc>
          <w:tcPr>
            <w:tcW w:w="773" w:type="dxa"/>
            <w:shd w:val="clear" w:color="000000" w:fill="FFFFFF"/>
            <w:noWrap/>
            <w:vAlign w:val="center"/>
          </w:tcPr>
          <w:p>
            <w:pPr>
              <w:rPr>
                <w:rFonts w:hint="eastAsia"/>
              </w:rPr>
            </w:pPr>
          </w:p>
        </w:tc>
        <w:tc>
          <w:tcPr>
            <w:tcW w:w="807" w:type="dxa"/>
            <w:shd w:val="clear" w:color="000000" w:fill="FFFFFF"/>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vAlign w:val="center"/>
          </w:tcPr>
          <w:p>
            <w:r>
              <w:rPr>
                <w:rFonts w:hint="eastAsia"/>
              </w:rPr>
              <w:t>音频扩声系统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w:t>
            </w:r>
          </w:p>
        </w:tc>
        <w:tc>
          <w:tcPr>
            <w:tcW w:w="766" w:type="dxa"/>
            <w:vMerge w:val="restart"/>
            <w:vAlign w:val="center"/>
          </w:tcPr>
          <w:p>
            <w:r>
              <w:rPr>
                <w:rFonts w:hint="eastAsia"/>
              </w:rPr>
              <w:t>左右线阵全频音箱</w:t>
            </w:r>
          </w:p>
        </w:tc>
        <w:tc>
          <w:tcPr>
            <w:tcW w:w="4577" w:type="dxa"/>
            <w:vAlign w:val="center"/>
          </w:tcPr>
          <w:p>
            <w:r>
              <w:rPr>
                <w:rFonts w:hint="eastAsia"/>
              </w:rPr>
              <w:t>1.频率响应（-10dB）:≥75Hz -20 kHz</w:t>
            </w:r>
            <w:r>
              <w:rPr>
                <w:rFonts w:hint="eastAsia"/>
                <w:lang w:eastAsia="zh-CN"/>
              </w:rPr>
              <w:t>（涵盖</w:t>
            </w:r>
            <w:r>
              <w:rPr>
                <w:rFonts w:hint="eastAsia"/>
                <w:lang w:val="en-US" w:eastAsia="zh-CN"/>
              </w:rPr>
              <w:t>此</w:t>
            </w:r>
            <w:r>
              <w:rPr>
                <w:rFonts w:hint="eastAsia"/>
                <w:lang w:eastAsia="zh-CN"/>
              </w:rPr>
              <w:t>范围视为满足）</w:t>
            </w:r>
            <w:r>
              <w:rPr>
                <w:rFonts w:hint="eastAsia"/>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2.灵敏度 (1 W/1m ):≥HF:105dB LF:96dB</w:t>
            </w:r>
            <w:r>
              <w:rPr>
                <w:rFonts w:hint="eastAsia"/>
                <w:lang w:eastAsia="zh-CN"/>
              </w:rPr>
              <w:t>（涵盖</w:t>
            </w:r>
            <w:r>
              <w:rPr>
                <w:rFonts w:hint="eastAsia"/>
                <w:lang w:val="en-US" w:eastAsia="zh-CN"/>
              </w:rPr>
              <w:t>此</w:t>
            </w:r>
            <w:r>
              <w:rPr>
                <w:rFonts w:hint="eastAsia"/>
                <w:lang w:eastAsia="zh-CN"/>
              </w:rPr>
              <w:t>范围视为满足）</w:t>
            </w:r>
            <w:r>
              <w:rPr>
                <w:rFonts w:hint="eastAsia"/>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3.标称阻抗（Ω）: HF:16Ω LF:16Ω；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4.额定功率（W）:≥HF:80W LF:700W</w:t>
            </w:r>
            <w:r>
              <w:rPr>
                <w:rFonts w:hint="eastAsia"/>
                <w:lang w:eastAsia="zh-CN"/>
              </w:rPr>
              <w:t>（涵盖</w:t>
            </w:r>
            <w:r>
              <w:rPr>
                <w:rFonts w:hint="eastAsia"/>
                <w:lang w:val="en-US" w:eastAsia="zh-CN"/>
              </w:rPr>
              <w:t>此</w:t>
            </w:r>
            <w:r>
              <w:rPr>
                <w:rFonts w:hint="eastAsia"/>
                <w:lang w:eastAsia="zh-CN"/>
              </w:rPr>
              <w:t>范围视为满足）</w:t>
            </w:r>
            <w:r>
              <w:rPr>
                <w:rFonts w:hint="eastAsia"/>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5.低音单元:≥2×10"；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6.高音单元:≥1×3"；</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7.标称覆盖角（H x V）: ≥100°×10°；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8.最大声压级（SPL）:HF:连续≥124dB，峰值≥130dB，LF:连续≥124dB，峰值≥130dB；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2.2</w:t>
            </w:r>
          </w:p>
        </w:tc>
        <w:tc>
          <w:tcPr>
            <w:tcW w:w="766" w:type="dxa"/>
            <w:vMerge w:val="restart"/>
            <w:vAlign w:val="center"/>
          </w:tcPr>
          <w:p>
            <w:r>
              <w:rPr>
                <w:rFonts w:hint="eastAsia"/>
              </w:rPr>
              <w:t>左右线阵全频音箱功放</w:t>
            </w:r>
          </w:p>
        </w:tc>
        <w:tc>
          <w:tcPr>
            <w:tcW w:w="4577" w:type="dxa"/>
            <w:vAlign w:val="center"/>
          </w:tcPr>
          <w:p>
            <w:r>
              <w:rPr>
                <w:rFonts w:hint="eastAsia" w:ascii="宋体" w:hAnsi="宋体" w:cs="宋体"/>
                <w:b/>
                <w:bCs/>
                <w:color w:val="FF0000"/>
                <w:kern w:val="0"/>
                <w:szCs w:val="21"/>
                <w:lang w:bidi="ar"/>
              </w:rPr>
              <w:t>1.▲采用ClassD技术,转换效率可达90%以上；（提供第三方检测机构出具的检测报告扫描件，原件备查）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2.机身轻、方便携带和安装，高度≤1U；</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3.自动限幅输出、短路、过载、过温、开机延时等保护功能；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4.功放配备延时启动系统,保护音箱不受冲击而损坏；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5.后板配备双通道、单通道、桥接输出转换；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6.平衡输入接口,SPEAKON输出；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7.功放开关电源带有单独的冷却系统；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8.散热风扇采用先进的无级变速电路控制。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9.输入灵敏度不少于4级可选。</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10.额定功率不低于:2×2000W/8欧，2×3400W/4欧，2×4700W/2欧；桥接：1×4000W/16欧，1×6800W/8欧，1×11500W/4欧；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11.频率响应不低于:20Hz-20kHz(±3dB)；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12.总谐波失真(THD):≤0.01%；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13输入阻抗:≥10kΩ(电子平衡式)；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14.信噪比:≥109dB；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15.阻尼系数(20Hz-200Hz):≥500。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2.3</w:t>
            </w:r>
          </w:p>
        </w:tc>
        <w:tc>
          <w:tcPr>
            <w:tcW w:w="766" w:type="dxa"/>
            <w:vAlign w:val="center"/>
          </w:tcPr>
          <w:p>
            <w:r>
              <w:rPr>
                <w:rFonts w:hint="eastAsia"/>
              </w:rPr>
              <w:t>线阵吊装配件支架1</w:t>
            </w:r>
          </w:p>
        </w:tc>
        <w:tc>
          <w:tcPr>
            <w:tcW w:w="4577" w:type="dxa"/>
            <w:noWrap/>
            <w:vAlign w:val="center"/>
          </w:tcPr>
          <w:p>
            <w:r>
              <w:rPr>
                <w:rFonts w:hint="eastAsia"/>
              </w:rPr>
              <w:t>承重：≥700kg。</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2.4</w:t>
            </w:r>
          </w:p>
        </w:tc>
        <w:tc>
          <w:tcPr>
            <w:tcW w:w="766" w:type="dxa"/>
            <w:vAlign w:val="center"/>
          </w:tcPr>
          <w:p>
            <w:r>
              <w:rPr>
                <w:rFonts w:hint="eastAsia"/>
              </w:rPr>
              <w:t>线阵吊装配件支架2</w:t>
            </w:r>
          </w:p>
        </w:tc>
        <w:tc>
          <w:tcPr>
            <w:tcW w:w="4577" w:type="dxa"/>
            <w:vAlign w:val="center"/>
          </w:tcPr>
          <w:p>
            <w:r>
              <w:rPr>
                <w:rFonts w:hint="eastAsia"/>
              </w:rPr>
              <w:t>1、标配长度：≥6米；包含：2个U型吊扣和2吨吊带。承重：≥2T。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2.5</w:t>
            </w:r>
          </w:p>
        </w:tc>
        <w:tc>
          <w:tcPr>
            <w:tcW w:w="766" w:type="dxa"/>
            <w:vMerge w:val="restart"/>
            <w:vAlign w:val="center"/>
          </w:tcPr>
          <w:p>
            <w:r>
              <w:rPr>
                <w:rFonts w:hint="eastAsia"/>
              </w:rPr>
              <w:t>返听音箱</w:t>
            </w:r>
          </w:p>
        </w:tc>
        <w:tc>
          <w:tcPr>
            <w:tcW w:w="4577" w:type="dxa"/>
            <w:vAlign w:val="center"/>
          </w:tcPr>
          <w:p>
            <w:r>
              <w:rPr>
                <w:rFonts w:hint="eastAsia"/>
              </w:rPr>
              <w:t>1.阻抗:8Ω;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2.频率范围：≥70Hz-20kHz;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3.特性灵敏度：≥93dB/1W/1m;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4.最大声压级：≥115dB;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5.额定功率：≥250W;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6.覆盖角度：≥H90°×V55°;</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7.10"低音×1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8.高音：1.4"压缩高音单元×1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2.6</w:t>
            </w:r>
          </w:p>
        </w:tc>
        <w:tc>
          <w:tcPr>
            <w:tcW w:w="766" w:type="dxa"/>
            <w:vMerge w:val="restart"/>
            <w:vAlign w:val="center"/>
          </w:tcPr>
          <w:p>
            <w:r>
              <w:rPr>
                <w:rFonts w:hint="eastAsia"/>
              </w:rPr>
              <w:t>返听音箱功放</w:t>
            </w:r>
          </w:p>
        </w:tc>
        <w:tc>
          <w:tcPr>
            <w:tcW w:w="4577" w:type="dxa"/>
            <w:vAlign w:val="center"/>
          </w:tcPr>
          <w:p>
            <w:r>
              <w:rPr>
                <w:rFonts w:hint="eastAsia"/>
              </w:rPr>
              <w:t>1.采用ClassD技术,转换效率可达90%以上；</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2.机身轻、方便携带和安装，高度≤1U；；</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3.▲自动限幅输出、短路、过载、过温、开机延时等保护功能； （提供第三方检测机构出具的检测报告扫描件，原件备查）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4.功放配备延时启动系统,保护音箱不受冲击而损坏；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5.后板配备双通道、单通道、桥接输出转换；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6.平衡输入接口,SPEAKON输出；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7.功放开关电源带有单独的冷却系统；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8.散热风扇采用先进的无级变速电路控制。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9.额定功率不低于:2×350W/8欧,2×550W/4欧；桥接:1×1000W/8欧；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10.频率响应不低于:20Hz-20kHz(±3dB)；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11.总谐波失真(THD):≤0.01%；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12.输入阻抗:≥10kΩ(电子平衡式)；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13.信噪比:≥109dB；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14.阻尼系数(20Hz-200Hz):≥500。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2.7</w:t>
            </w:r>
          </w:p>
        </w:tc>
        <w:tc>
          <w:tcPr>
            <w:tcW w:w="766" w:type="dxa"/>
            <w:vMerge w:val="restart"/>
            <w:vAlign w:val="center"/>
          </w:tcPr>
          <w:p>
            <w:r>
              <w:rPr>
                <w:rFonts w:hint="eastAsia"/>
              </w:rPr>
              <w:t>辅助扩声音箱</w:t>
            </w:r>
          </w:p>
        </w:tc>
        <w:tc>
          <w:tcPr>
            <w:tcW w:w="4577" w:type="dxa"/>
            <w:vAlign w:val="center"/>
          </w:tcPr>
          <w:p>
            <w:r>
              <w:rPr>
                <w:rFonts w:hint="eastAsia"/>
              </w:rPr>
              <w:t>1.阻抗:8Ω;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2.频率范围：≥70Hz-20kHz;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3.特性灵敏度：≥93dB/1W/1m;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4.最大声压级：≥115dB;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5.额定功率：≥250W;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6.覆盖角度：≥H90°×V55°;</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7.10"低音×1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8.高音：1.4"压缩高音单元×1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2.8</w:t>
            </w:r>
          </w:p>
        </w:tc>
        <w:tc>
          <w:tcPr>
            <w:tcW w:w="766" w:type="dxa"/>
            <w:vMerge w:val="restart"/>
            <w:vAlign w:val="center"/>
          </w:tcPr>
          <w:p>
            <w:r>
              <w:rPr>
                <w:rFonts w:hint="eastAsia"/>
              </w:rPr>
              <w:t>辅助扩声音箱功放</w:t>
            </w:r>
          </w:p>
        </w:tc>
        <w:tc>
          <w:tcPr>
            <w:tcW w:w="4577" w:type="dxa"/>
            <w:vAlign w:val="center"/>
          </w:tcPr>
          <w:p>
            <w:r>
              <w:rPr>
                <w:rFonts w:hint="eastAsia"/>
              </w:rPr>
              <w:t>1.采用ClassD技术,转换效率可达90%以上；</w:t>
            </w:r>
            <w:r>
              <w:rPr>
                <w:rFonts w:hint="eastAsia"/>
                <w:b/>
                <w:bCs/>
                <w:color w:val="FF0000"/>
              </w:rPr>
              <w:t xml:space="preserve">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2.机身轻、方便携带和安装，高度≤1U；</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3.自动限幅输出、短路、过载、过温、开机延时等保护功能；</w:t>
            </w:r>
            <w:r>
              <w:rPr>
                <w:rFonts w:hint="eastAsia"/>
                <w:b/>
                <w:bCs/>
                <w:color w:val="FF0000"/>
              </w:rPr>
              <w:t xml:space="preserve">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4.功放配备延时启动系统,保护音箱不受冲击而损坏；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5.后板配备双通道、单通道、桥接输出转换；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6.平衡输入接口,SPEAKON输出；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7.功放开关电源带有单独的冷却系统；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8.散热风扇采用无级变速电路控制。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9.额定功率不低于:2×350W/8欧,2×550W/4欧；桥接:1×1000W/8欧；</w:t>
            </w:r>
            <w:r>
              <w:rPr>
                <w:rFonts w:hint="eastAsia"/>
                <w:b/>
                <w:bCs/>
                <w:color w:val="FF0000"/>
              </w:rPr>
              <w:t xml:space="preserve">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10.频率响应不低于:20Hz-20kHz(±3dB)；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11.总谐波失真(THD):≤0.01%；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12.输入阻抗:≥10kΩ(电子平衡式)；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13.信噪比:≥109dB；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14.阻尼系数(20Hz-200Hz):≥500。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2.9</w:t>
            </w:r>
          </w:p>
        </w:tc>
        <w:tc>
          <w:tcPr>
            <w:tcW w:w="766" w:type="dxa"/>
            <w:vMerge w:val="restart"/>
            <w:vAlign w:val="center"/>
          </w:tcPr>
          <w:p>
            <w:r>
              <w:rPr>
                <w:rFonts w:hint="eastAsia"/>
              </w:rPr>
              <w:t>音频处理器</w:t>
            </w:r>
          </w:p>
        </w:tc>
        <w:tc>
          <w:tcPr>
            <w:tcW w:w="4577" w:type="dxa"/>
            <w:vAlign w:val="center"/>
          </w:tcPr>
          <w:p>
            <w:r>
              <w:rPr>
                <w:rFonts w:hint="eastAsia"/>
              </w:rPr>
              <w:t>1.本地通道数不少于16路输入、16路输出；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2.支持设备工程文件保存至本地，支持多机复制工程，支持设备离线配置等；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3.支持分组式自动混音，可对多只话筒分组管理；可根据声场环境设定的每组的开启麦克风数量，算法自动控制允许输出的话筒数量，提升系统传声增益；</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 输入通道处理功能不少于：扩展器、压缩器、动态均衡器，自动增益等；输出通道处理功能不少于：动态均衡器、高低通滤波器、限幅器等；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5.不少于四组自适应反馈消除AFC</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6.▲ ≥2组独立的自适应回声消除AEC功能（每组都可以设置模拟通道、RTP网络音频通道、混音通道等AEC，支持AEC任意通道组合设置）；≥4组独立可共享自适应反馈消除AFC（每组都可以设置模拟通道、RTP网络音频通道、混音通道等AFC，支持AFC任意通道组合设置）；支持自动混音功能AM，支持≥4个分组式自动混音，具备自适应噪声消除ANC；（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7.每个输入、输出通道可设定电平控制范围，即设定推子的最大值和最小值；</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8.内置WEB服务器，电脑通过网络连接设备后采用浏览器下载设备控制软件、控制对接 协议、操作手册等相关资料；一个软件可同时管理不少于100台设备；</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9.内置智能闪避器Ducker；</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10.带RS-485控制接口，内置语音跟踪功能，可控制不少于30台摄像机；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11.支持GPIO，不少于8路GPI，8路GPO；</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 支持≥2路RTP网络音频流发送和接收，支持模拟通道、混音通道通过RTP通道传输到远端，支持≥16方远程语音讨论会议；支持单播、组播通讯方式，支持多级网络远程实时传输音频，支持三层路由传输；具备实时传输及流量控制、时间戳与顺序编号、音频数据格式描述与丢包恢复等功能；</w:t>
            </w:r>
            <w:r>
              <w:rPr>
                <w:rFonts w:hint="eastAsia"/>
                <w:b/>
                <w:bCs/>
                <w:color w:val="FF0000"/>
              </w:rPr>
              <w:t xml:space="preserve">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13.支持不少于50个参数预设，可设置调用预设静音(淡入淡出)，调用预设模式时声音不中断。支持局部预设和全局预设，具有模块化预设功能；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14.▲支持与分布式智控协作平台系统数字对接，网络通讯，分布式系统UI界面上可实时查看输入、输出通道动态电平值，可视化管理，一键模式切换、一键视音频联动等。（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 xml:space="preserve">2.10 </w:t>
            </w:r>
          </w:p>
        </w:tc>
        <w:tc>
          <w:tcPr>
            <w:tcW w:w="766" w:type="dxa"/>
            <w:vMerge w:val="restart"/>
            <w:vAlign w:val="center"/>
          </w:tcPr>
          <w:p>
            <w:r>
              <w:rPr>
                <w:rFonts w:hint="eastAsia"/>
              </w:rPr>
              <w:t>数字调音台</w:t>
            </w:r>
          </w:p>
        </w:tc>
        <w:tc>
          <w:tcPr>
            <w:tcW w:w="4577" w:type="dxa"/>
            <w:vAlign w:val="center"/>
          </w:tcPr>
          <w:p>
            <w:r>
              <w:rPr>
                <w:rFonts w:hint="eastAsia"/>
              </w:rPr>
              <w:t>1.不小于7寸主控电容触摸大屏，可切换中英文显示；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2.不少于9个高精度电动推子，100mm行程；</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3.不少于9个1.44寸彩色TFT显示屏，显示通道名称及通道参数信息，支持中英文；</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4.不少于12个MIC/LINE输入，支持48V幻象供电；</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5.两组立体声输入；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6.支持U盘录音和播放（立体声）、蓝牙播放；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7.不少于L/R主输出、8路AUX输出、1组立体声监听；</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8.具有不少于8个DCA编组控制，8个静音编组；</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9.内置不少于两组效果效果器；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10.MIC/LINE输入通道均有：48V幻象电源、极性切换、噪声门、压限器、四段参量频率均衡（具有低架滤波器）、高通滤波器、低通滤波器；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11.MIC/LINE输入通道可进行自动混音处理，采用权重分配和增益共享智能算法；</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12.所有输出通道均有，延时器、图示频率均衡、四段参量均衡器（具有低架滤波器）、高通滤波器、低通滤波器、压限器；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13.支持IPAD、 中控(IP网络) 远程控制；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14.自带 WiFi 适配器，支持IOS 苹果 iPad 或安卓平板电脑进行远程遥控操作；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15.IP 化 HTML5 网页版设备系统管理平台，通过电脑或智能手机即可对设备进行设置和升级；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2.11</w:t>
            </w:r>
          </w:p>
        </w:tc>
        <w:tc>
          <w:tcPr>
            <w:tcW w:w="766" w:type="dxa"/>
            <w:vMerge w:val="restart"/>
            <w:vAlign w:val="center"/>
          </w:tcPr>
          <w:p>
            <w:r>
              <w:rPr>
                <w:rFonts w:hint="eastAsia"/>
              </w:rPr>
              <w:t>有源监听音箱</w:t>
            </w:r>
          </w:p>
        </w:tc>
        <w:tc>
          <w:tcPr>
            <w:tcW w:w="4577" w:type="dxa"/>
            <w:vAlign w:val="center"/>
          </w:tcPr>
          <w:p>
            <w:r>
              <w:rPr>
                <w:rFonts w:hint="eastAsia"/>
              </w:rPr>
              <w:t>1.多功能输入接口：XLR/RCA/TRS输入；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2.1只≥6英寸低音单元；</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3.1只≥1英寸高音单元；</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4.频率范围：≥50Hz-20KHz；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5.最大声压级@1米：≥108dB；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6.覆盖角度：≥110°x110°；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7.额定功率：≥75W；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2.12</w:t>
            </w:r>
          </w:p>
        </w:tc>
        <w:tc>
          <w:tcPr>
            <w:tcW w:w="766" w:type="dxa"/>
            <w:vMerge w:val="restart"/>
            <w:vAlign w:val="center"/>
          </w:tcPr>
          <w:p>
            <w:r>
              <w:rPr>
                <w:rFonts w:hint="eastAsia"/>
              </w:rPr>
              <w:t>无线话筒</w:t>
            </w:r>
          </w:p>
        </w:tc>
        <w:tc>
          <w:tcPr>
            <w:tcW w:w="4577" w:type="dxa"/>
            <w:vAlign w:val="center"/>
          </w:tcPr>
          <w:p>
            <w:r>
              <w:rPr>
                <w:rFonts w:hint="eastAsia"/>
              </w:rPr>
              <w:t>1.含：一台双通道接收机，两只无线手持话筒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2.双通道无线接收机参数不低于以下要求：</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3.双天线，低损耗，可拆卸设计；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4.急速红外对频方式；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5.频率范围：≥470-900MHz；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6.可调信道数：≥100；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7.LED高清屏幕显示；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8.音频频响：≥80-16kHz；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9.谐波失真：&lt;0.5%；</w:t>
            </w:r>
            <w:r>
              <w:rPr>
                <w:rFonts w:hint="eastAsia"/>
              </w:rPr>
              <w:t xml:space="preserve"> </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10.信噪比：≥105dB；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ascii="宋体" w:hAnsi="宋体" w:cs="宋体"/>
                <w:b/>
                <w:bCs/>
                <w:color w:val="FF0000"/>
                <w:kern w:val="0"/>
                <w:szCs w:val="21"/>
                <w:lang w:bidi="ar"/>
              </w:rPr>
              <w:t>11. ▲自动跟踪调谐技术；（提供第三方检测机构出具的检测报告扫描件，原件备查）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12.同时支持XLR卡龙和6.35mm大三芯平衡输出；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13.灵敏度：≤-50.4dBV/Pa(1kHz）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14.输出阻抗：≥600欧（1kHz）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2.13</w:t>
            </w:r>
          </w:p>
        </w:tc>
        <w:tc>
          <w:tcPr>
            <w:tcW w:w="766" w:type="dxa"/>
            <w:vMerge w:val="restart"/>
            <w:vAlign w:val="center"/>
          </w:tcPr>
          <w:p>
            <w:r>
              <w:rPr>
                <w:rFonts w:hint="eastAsia"/>
              </w:rPr>
              <w:t>无线话筒</w:t>
            </w:r>
          </w:p>
        </w:tc>
        <w:tc>
          <w:tcPr>
            <w:tcW w:w="4577" w:type="dxa"/>
            <w:vAlign w:val="center"/>
          </w:tcPr>
          <w:p>
            <w:r>
              <w:rPr>
                <w:rFonts w:hint="eastAsia"/>
              </w:rPr>
              <w:t>1.含：一台双通道接收机，两只无线领夹话筒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2.双通道无线接收机参数不低于以下要求：</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3.双天线，低损耗，可拆卸设计；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4.急速红外对频方式；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5.频率范围：≥470-900MHz；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6.可调信道数：≥100；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7.LED高清屏幕显示；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8.音频频响：≥80-16kHz；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9.谐波失真：&lt;0.5%；</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10.信噪比：≥105dB；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11.自动跟踪调谐技术,保证系统在任何频率工作时保持最佳稳定性；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12.同时支持XLR卡龙和6.35mm大三芯平衡输出；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13.谐波失真&lt;0.5%(1kHz,25mVrms)</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2.14</w:t>
            </w:r>
          </w:p>
        </w:tc>
        <w:tc>
          <w:tcPr>
            <w:tcW w:w="766" w:type="dxa"/>
            <w:vMerge w:val="restart"/>
            <w:vAlign w:val="center"/>
          </w:tcPr>
          <w:p>
            <w:r>
              <w:rPr>
                <w:rFonts w:hint="eastAsia"/>
              </w:rPr>
              <w:t>天线分配器</w:t>
            </w:r>
          </w:p>
        </w:tc>
        <w:tc>
          <w:tcPr>
            <w:tcW w:w="4577" w:type="dxa"/>
            <w:vAlign w:val="center"/>
          </w:tcPr>
          <w:p>
            <w:r>
              <w:rPr>
                <w:rFonts w:hint="eastAsia"/>
              </w:rPr>
              <w:t>1.支持不少于4路无线接收机，不少于8个BNC接口；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2.内置不少于4通道电源分配器，可直接对接收机DC供电；</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3.频率范围：≥480-900MHz；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4.输入阻抗：50Ω；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5.输出阻抗：50Ω。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2.15</w:t>
            </w:r>
          </w:p>
        </w:tc>
        <w:tc>
          <w:tcPr>
            <w:tcW w:w="766" w:type="dxa"/>
            <w:vMerge w:val="restart"/>
            <w:vAlign w:val="center"/>
          </w:tcPr>
          <w:p>
            <w:r>
              <w:rPr>
                <w:rFonts w:hint="eastAsia"/>
              </w:rPr>
              <w:t>话筒天线</w:t>
            </w:r>
          </w:p>
        </w:tc>
        <w:tc>
          <w:tcPr>
            <w:tcW w:w="4577" w:type="dxa"/>
            <w:vAlign w:val="center"/>
          </w:tcPr>
          <w:p>
            <w:r>
              <w:rPr>
                <w:rFonts w:hint="eastAsia"/>
              </w:rPr>
              <w:t>1.有效增加信号强度和信噪比；</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2.隔离杂波信号；</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3.频率范围：≥450 ~ 900MHz；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4.天线增益：≥4dBi；</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5.指向性：单指向；</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6.有效角：≥100度。</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2.16</w:t>
            </w:r>
          </w:p>
        </w:tc>
        <w:tc>
          <w:tcPr>
            <w:tcW w:w="766" w:type="dxa"/>
            <w:vMerge w:val="restart"/>
            <w:vAlign w:val="center"/>
          </w:tcPr>
          <w:p>
            <w:r>
              <w:rPr>
                <w:rFonts w:hint="eastAsia"/>
              </w:rPr>
              <w:t>放大器</w:t>
            </w:r>
          </w:p>
        </w:tc>
        <w:tc>
          <w:tcPr>
            <w:tcW w:w="4577" w:type="dxa"/>
            <w:vAlign w:val="center"/>
          </w:tcPr>
          <w:p>
            <w:r>
              <w:rPr>
                <w:rFonts w:hint="eastAsia"/>
              </w:rPr>
              <w:t>1.要求适用于470-940MHZ的天线信号放大系统。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2.具有可调的输出增益。</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2.17</w:t>
            </w:r>
          </w:p>
        </w:tc>
        <w:tc>
          <w:tcPr>
            <w:tcW w:w="766" w:type="dxa"/>
            <w:vMerge w:val="restart"/>
            <w:vAlign w:val="center"/>
          </w:tcPr>
          <w:p>
            <w:r>
              <w:rPr>
                <w:rFonts w:hint="eastAsia"/>
              </w:rPr>
              <w:t>分线盒</w:t>
            </w:r>
          </w:p>
        </w:tc>
        <w:tc>
          <w:tcPr>
            <w:tcW w:w="4577" w:type="dxa"/>
            <w:vAlign w:val="center"/>
          </w:tcPr>
          <w:p>
            <w:r>
              <w:rPr>
                <w:rFonts w:hint="eastAsia"/>
              </w:rPr>
              <w:t>1.频率范围：400MHz-1000MHz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2.衰减：-3dB，±1dB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3.隔离：&gt;-25dB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4.阻抗：50Ω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5.最大通过电压/电流：+50V DC/1.50A</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2.18</w:t>
            </w:r>
          </w:p>
        </w:tc>
        <w:tc>
          <w:tcPr>
            <w:tcW w:w="766" w:type="dxa"/>
            <w:vAlign w:val="center"/>
          </w:tcPr>
          <w:p>
            <w:r>
              <w:rPr>
                <w:rFonts w:hint="eastAsia"/>
              </w:rPr>
              <w:t>线材</w:t>
            </w:r>
          </w:p>
        </w:tc>
        <w:tc>
          <w:tcPr>
            <w:tcW w:w="4577" w:type="dxa"/>
            <w:vAlign w:val="center"/>
          </w:tcPr>
          <w:p>
            <w:r>
              <w:rPr>
                <w:rFonts w:hint="eastAsia"/>
              </w:rPr>
              <w:t>25米天线延长线：BNC插头*2，线径：7.2mm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2.19</w:t>
            </w:r>
          </w:p>
        </w:tc>
        <w:tc>
          <w:tcPr>
            <w:tcW w:w="766" w:type="dxa"/>
            <w:vMerge w:val="restart"/>
            <w:vAlign w:val="center"/>
          </w:tcPr>
          <w:p>
            <w:r>
              <w:rPr>
                <w:rFonts w:hint="eastAsia"/>
              </w:rPr>
              <w:t>抑制器</w:t>
            </w:r>
          </w:p>
        </w:tc>
        <w:tc>
          <w:tcPr>
            <w:tcW w:w="4577" w:type="dxa"/>
            <w:vAlign w:val="center"/>
          </w:tcPr>
          <w:p>
            <w:r>
              <w:rPr>
                <w:rFonts w:hint="eastAsia"/>
              </w:rPr>
              <w:t>1.话筒高频可调节，输入电平最少支持高中低三档选择;</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2.自适应性过滤器，提升拾音距离最大不少于25CM;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3.不少于10dB的增益；</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4.采样率:32KHz;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5.失真: &lt;0.1%@1khz;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6.信噪比:&gt;90dB;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7.信号延时:≤7ms(音乐模式),≤11ms(语音模式);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8.输入阻抗:20KΩ;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9.输出阻抗(平衡):200Ω。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vAlign w:val="center"/>
          </w:tcPr>
          <w:p>
            <w:r>
              <w:rPr>
                <w:rFonts w:hint="eastAsia"/>
              </w:rPr>
              <w:t>光纤分布式智控协作平台</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3.1</w:t>
            </w:r>
          </w:p>
        </w:tc>
        <w:tc>
          <w:tcPr>
            <w:tcW w:w="766" w:type="dxa"/>
            <w:vMerge w:val="restart"/>
            <w:vAlign w:val="center"/>
          </w:tcPr>
          <w:p>
            <w:r>
              <w:rPr>
                <w:rFonts w:hint="eastAsia"/>
              </w:rPr>
              <w:t>分布式综合控制管理软件</w:t>
            </w:r>
          </w:p>
        </w:tc>
        <w:tc>
          <w:tcPr>
            <w:tcW w:w="4577" w:type="dxa"/>
            <w:vAlign w:val="center"/>
          </w:tcPr>
          <w:p>
            <w:r>
              <w:rPr>
                <w:rFonts w:hint="eastAsia"/>
              </w:rPr>
              <w:t>1.单机支持≥500路高清多媒体信号管理能力，平台支持≥10台MCU级联使用；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节点端口备份、传输链路备份、多个输出节点热备份和服务器多机备份；服务平台支持≥6机热备，切换时间&lt;1秒，切换过程中不影响原有音视频控制业务，服务平台之间自动备份用户拓扑信息、系统配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3.支持≥50种角色创建功能，权限和功能模块可根据不同的角色分配，可被管理≥10种功能模块、≥8种权限模块；支持多用户创建管理，支持不同用户绑定不同的角色，支持统一的页面查看所有信息和状态；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4.支持有中心服务时支持系统配置信息一键保存和加载应用，可将一台服务器的配置信息导出到另外一台服务器；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5.▲平台支持四级多套分布式系统级联组网应用，实现音视频及控制融合，组建音/视/控汇聚资源池，媒体源列表支持显示本级和全局的所有资源，实现四级多套分布式系统之间音视频与控制的互联互通，统一可视化管控。任意某级的分布式系统故障均不影响全局系统使用。无需单独的运维系统即可监看四级系统网络TOPO图以及链接状态；为保证系统安全，级联单元接入支持鉴权功能；为保证系统稳定性，级联单元支持热备份；（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同屏功能，可同屏镜像多个不同类型的显示设备显示内容，显示设备类型、大小、分辨率、开窗布局等不需关注，支持多屏联动功能，在同屏镜像过程中，对主显示屏进行图像切换、开窗布局调整，被同屏显示屏自动跟随变化；</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具备预先操作功能，预操作信号源支持节点图像、对接的监控平台图像及对接的视频会议MCU会场图像，预操作显示支持投影、电视、LED大屏、LCD大屏等类型，大屏显示画面和开窗布局支持调整过程中无实时输出显示，调整后支持一键将调整好的开窗布局和图像上屏显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8.平台支持不少于60路画面合成推送功能，适应低带宽场景下传输多路画面；客户端同时预览不少于120个画面，并可以在浏览器直接预览画面；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9.平台支持一条网线实现音频与视频的同传和管理，不再需要单独的模拟线路将音频信号通过模拟接口接入音频处理器；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10.支持可视化管理界面；支持自定义用户界面交互方式，支持可视化音频路由调度、音频预案保存和调用，音频通道增益、静音控制和电平显示，系统静音控制，矩阵混音控制；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11.支持多用户分级分权，多用户同时在线管理操作；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12. ▲支持网络对接H.323/SIP协议的视频会议MCU，可获取视频会议MCU的活动视频源列表及码流，可在系统可视化管理界面上同时预览不同视频会议会场画面≥30个，并支持与系统可视化管理界面同一界面统一管理调度，支持一键调度≥240路视频会议会场画面上大屏显示;支持视频会议终端媒体流获取并直接上屏；具备在系统可视化管理界面上呈现会议模板、会议列表、终端列表等会管功能，支持静音、点名、快速组会、结束会议、呼叫、断开等会管功能；（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3.2</w:t>
            </w:r>
          </w:p>
        </w:tc>
        <w:tc>
          <w:tcPr>
            <w:tcW w:w="766" w:type="dxa"/>
            <w:vMerge w:val="restart"/>
            <w:vAlign w:val="center"/>
          </w:tcPr>
          <w:p>
            <w:r>
              <w:rPr>
                <w:rFonts w:hint="eastAsia"/>
              </w:rPr>
              <w:t>移动端可视化控制系统</w:t>
            </w:r>
          </w:p>
        </w:tc>
        <w:tc>
          <w:tcPr>
            <w:tcW w:w="4577" w:type="dxa"/>
            <w:vAlign w:val="center"/>
          </w:tcPr>
          <w:p>
            <w:r>
              <w:rPr>
                <w:rFonts w:hint="eastAsia"/>
              </w:rPr>
              <w:t>1.支持集中管理和控制整个系统设备，支持独立控制各个区域的设备;支持对所有视频源进行预览以及大屏图像回显，可在用户端软件观看大屏实时画面，并进行可视化拖拽操作；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2.支持B/S架构运维管理、提供C/S架构用户使用界面，提供多种类的Web管理工具，支持Web界面批量处理节点关机、重启、唤醒以及查看网口配置信息等;支持Web界面在线监测设备状态;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3.支持WINDOWS或MAC电脑提供无线/有线网络上屏服务,无需任何硬件设备，实现音视频同步编码和传输；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软件远程KVM和硬件远程KVM，通过IP网络远程控制PC或者服务器，支持通过系统平台可视化UI界面(如无线PAD)远程控制电脑，在平台可视化UI界面回显窗口内即可打开PC端应用程序，控制其内容(修改编辑、复制粘贴、上下翻页、播放暂停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5.具备可视化管理界面，支持音频动态电平、静音状态实时反馈、视频信号实时预览及回显，UI界面可根据用户需求定制，提供多套UI模版备选: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6.支持指定一个或多个显示区域任意信号进行视频轮巡,轮巡过程中支持双击放大画面；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7.支持在可视化调度界面一键截屏，把当前上屏的所有画面进行多路全高清截屏(而不只是回显的全屏截屏)，自动保存到平台可视化UI界面所在的存储设备，便于事后统一分析和回溯；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8.支持软件点名功能，当软件选中定位节点时，节点所有指示灯闪烁，协助用户和调试人员定位设备位置；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9.支持音频跟随视频同步传输与切换功能，拖放视频的同时音频同步播放;支持一台终端多权限管理，支持一个权限多终端同时管控；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10.平台可视化UI界面操作支持设置加密功能，重要的操作需要通过密码认证才能够被允许操作；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11.在平台可视化UI界面视频信号预览列表中，双击列表中的信号源能够全屏显示高清画面；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12.支持放大镜功能，能够把屏幕上显示的画面，局部放大显示；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13.平台可视化UI界面能够对接视频会议实现会控管理，如召开会议、邀请终端入会、主会场设置、闭音、重连接、结束会议常用功能；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14.平台可视化UI界面在退出后，再登陆系统时，可以自动恢复到退出前的状态，设备断电重启后能够恢复断电前的数据，不会因为卸载平台可视化UI界面软件而丢失；</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15.支持施工平台更新UI和逻辑后后，操作界面可以自动同步最新的交互界面和逻辑关系；</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16.</w:t>
            </w:r>
            <w:r>
              <w:rPr>
                <w:rFonts w:hint="eastAsia"/>
              </w:rPr>
              <w:t>提供软件著作权证书扫描件</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3.3</w:t>
            </w:r>
          </w:p>
        </w:tc>
        <w:tc>
          <w:tcPr>
            <w:tcW w:w="766" w:type="dxa"/>
            <w:vMerge w:val="restart"/>
            <w:vAlign w:val="center"/>
          </w:tcPr>
          <w:p>
            <w:r>
              <w:rPr>
                <w:rFonts w:hint="eastAsia"/>
              </w:rPr>
              <w:t>双路4K输入节点</w:t>
            </w:r>
          </w:p>
        </w:tc>
        <w:tc>
          <w:tcPr>
            <w:tcW w:w="4577" w:type="dxa"/>
            <w:vAlign w:val="center"/>
          </w:tcPr>
          <w:p>
            <w:r>
              <w:rPr>
                <w:rFonts w:hint="eastAsia" w:ascii="宋体" w:hAnsi="宋体" w:cs="宋体"/>
                <w:b/>
                <w:bCs/>
                <w:color w:val="FF0000"/>
                <w:kern w:val="0"/>
                <w:szCs w:val="21"/>
                <w:lang w:bidi="ar"/>
              </w:rPr>
              <w:t>1.▲设备网络、处理芯片、音频、视频采集等核心元器件均采用国产化；单节点采用编解码一体化设计，支持连接物理端口自动识别为编码模式或解码模式，无需硬件拨码或软件调试；（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2.前面板带显示屏,用于显示设备IP地址、设备型号等信息；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3.节点采用无风扇静音设计，采用国产化芯片，自主可控；分辨率不低3840x2160@60Hz（向下兼容）；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4.▲单节点支持同时开设不少于64个活动窗口；不低于8K@60Hz分辨率图像解码和输出；（提供第三方检测机构出具的检测报告扫描件，原件备查）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5.作为KVM解码节点时，支持解码的同时接入本地电脑信号，实现一套键鼠同时管理本地电脑和远端电脑，基于安全考虑，本地电脑可设置为仅本地使用和控制；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6.通过座席节点，可以实现USB数据远程传输，如U盘或者USB硬盘的数据拷贝，远程U盾认证接入应用；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节点不少于1个耳麦（3.5mm）输入输出接口，支持音频反向输入，不少于1路MIC输入接口（支持48V幻象供电），支持HDMI双声道数字音频输入输出加解嵌、具备LINEINL+R左右双声道声音输入、具备LINEOUTL+R左右双声道声音输出，此四类接口同时具备声学回声消除功能(AEC)、背景噪声抑制功能(ANS)、自动增益控制功能(AGC)；</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8.视频接口：不少于2路HDMI输入，不少于2路HDMI输出；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9.控制接口:≥1路RELAY、≥1路I/O、≥1路IR红外控制、≥1路RS-232、≥1路RS-485、≥2路USB、≥1路Type-c接口（支持视频输出）；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10.支持RJ45网口和SFP光口网络备份，支持链路聚合,支持接入同交换机或不同交换机的光口和电口，支持使用优先级配置，光电口通讯倒换用户无感知，倒换时间无延时；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11.座席管理OSD菜单支持对其他座席进行批量预操作，可通过当前席位OSD对多个席位的显示布局及内容、控制权限进行预操作，调整好的布局和控制权限可一键批量推送，调整过程中不影响各个席位正常使用；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12.支持一席多屏时整屏和子屏的切换和控制，通过一个屏幕对当前席位多屏的布局、场景、信号源填充以及推屏进行操控；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 xml:space="preserve">13.▲节点不少于16方音视频会议功能，支持视频会议中加入会议话筒组成混合会议，支持多画面、混合语音、混合媒体流的编解码及分发功能，支持对参会席位进行静音、闭麦、开关画面、调节音量大小；（提供第三方检测机构出具的检测报告扫描件，原件备查） </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14.UI界面支持窗口锁定/解锁功能，支持对编码视频源进行局部放大至全屏显示功能；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15.支持大屏拼接功能：支持LCD液晶屏/LED屏/DLP屏等类型屏拼接显示，高精度同步校准，分布式节点同步误差≤0.01ms；</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16.支持开窗画面90°、180°、270°旋转；</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17.支持音视频同步拖放控制，视频源回显画面上可独立控制音频开关；支持音频与视频独立传输与控制；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18.支持节点音频（HDMI所含音频及音频接口音频）码流与音频系统码流直接网络通讯，不需要外接音频线；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3.4</w:t>
            </w:r>
          </w:p>
        </w:tc>
        <w:tc>
          <w:tcPr>
            <w:tcW w:w="766" w:type="dxa"/>
            <w:vMerge w:val="restart"/>
            <w:vAlign w:val="center"/>
          </w:tcPr>
          <w:p>
            <w:r>
              <w:rPr>
                <w:rFonts w:hint="eastAsia"/>
              </w:rPr>
              <w:t>双路4K输出节点</w:t>
            </w:r>
          </w:p>
        </w:tc>
        <w:tc>
          <w:tcPr>
            <w:tcW w:w="4577" w:type="dxa"/>
            <w:vAlign w:val="center"/>
          </w:tcPr>
          <w:p>
            <w:pPr>
              <w:rPr>
                <w:color w:val="000000"/>
              </w:rPr>
            </w:pPr>
            <w:r>
              <w:t>1.</w:t>
            </w:r>
            <w:r>
              <w:rPr>
                <w:rFonts w:hint="eastAsia"/>
              </w:rPr>
              <w:t>设备网络、处理芯片、音频、视频采集等核心元器件均采用国产化；单节点采用编解码一体化设计，支持连接物理端口自动识别为编码模式或解码模式，无需硬件拨码或软件调试；</w:t>
            </w:r>
          </w:p>
        </w:tc>
        <w:tc>
          <w:tcPr>
            <w:tcW w:w="1050" w:type="dxa"/>
            <w:vAlign w:val="center"/>
          </w:tcPr>
          <w:p/>
        </w:tc>
        <w:tc>
          <w:tcPr>
            <w:tcW w:w="773" w:type="dxa"/>
            <w:vAlign w:val="center"/>
          </w:tcPr>
          <w:p/>
        </w:tc>
        <w:tc>
          <w:tcPr>
            <w:tcW w:w="8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2.前面板带显示屏,用于显示设备IP地址、设备型号等信息；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3.节点采用无风扇静音设计，采用国产化芯片，自主可控；分辨率不低3840x2160@60Hz（向下兼容）；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4.单节点支持同时开设不少于64个活动窗口；不低于8K@60Hz分辨率图像解码和输出；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5.作为KVM解码节点时，支持解码的同时接入本地电脑信号，实现一套键鼠同时管理本地电脑和远端电脑，基于安全考虑，本地电脑可设置为仅本地使用和控制；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6.通过座席节点，可以实现USB数据远程传输，如U盘或者USB硬盘的数据拷贝，远程U盾认证接入应用；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节点不少于1个耳麦（3.5mm）输入输出接口，支持音频反向输入，不少于1路MIC输入接口（支持48V幻象供电），支持HDMI双声道数字音频输入输出加解嵌、具备LINEINL+R左右双声道声音输入、具备LINEOUTL+R左右双声道声音输出，此四类接口同时具备声学回声消除功能(AEC)、背景噪声抑制功能(ANS)、自动增益控制功能(AGC)；</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8.视频接口：不少于2路HDMI输入，不少于2路HDMI输出；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9.控制接口:≥1路RELAY、≥1路I/O、≥1路IR红外控制、≥1路RS-232、≥1路RS-485、≥2路USB、≥1路Type-c接口（支持视频输出）；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10.支持RJ45网口和SFP光口网络备份，支持链路聚合,支持接入同交换机或不同交换机的光口和电口，支持使用优先级配置，光电口通讯倒换用户无感知，倒换时间无延时；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11.座席管理OSD菜单支持对其他座席进行批量预操作，可通过当前席位OSD对多个席位的显示布局及内容、控制权限进行预操作，调整好的布局和控制权限可一键批量推送，调整过程中不影响各个席位正常使用；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12.支持一席多屏时整屏和子屏的切换和控制，通过一个屏幕对当前席位多屏的布局、场景、信号源填充以及推屏进行操控；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13.节点不少于16方音视频会议功能，支持视频会议中加入会议话筒组成混合会议，支持多画面、混合语音、混合媒体流的编解码及分发功能，支持对参会席位进行静音、闭麦、开关画面、调节音量大小；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14.UI界面支持窗口锁定/解锁功能，支持对编码视频源进行局部放大至全屏显示功能；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15.支持大屏拼接功能：支持LCD液晶屏/LED屏/DLP屏等类型屏拼接显示，高精度同步校准，分布式节点同步误差≤0.01ms；</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16.支持开窗画面90°、180°、270°旋转；</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17.支持音视频同步拖放控制，视频源回显画面上可独立控制音频开关；支持音频与视频独立传输与控制；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18.支持节点音频（HDMI所含音频及音频接口音频）码流与音频系统码流直接网络通讯，不需要外接音频线；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3.5</w:t>
            </w:r>
          </w:p>
        </w:tc>
        <w:tc>
          <w:tcPr>
            <w:tcW w:w="766" w:type="dxa"/>
            <w:vMerge w:val="restart"/>
            <w:vAlign w:val="center"/>
          </w:tcPr>
          <w:p>
            <w:r>
              <w:rPr>
                <w:rFonts w:hint="eastAsia"/>
              </w:rPr>
              <w:t>光纤拼控卡</w:t>
            </w:r>
          </w:p>
        </w:tc>
        <w:tc>
          <w:tcPr>
            <w:tcW w:w="4577" w:type="dxa"/>
            <w:vAlign w:val="center"/>
          </w:tcPr>
          <w:p>
            <w:r>
              <w:rPr>
                <w:rFonts w:hint="eastAsia"/>
              </w:rPr>
              <w:t>1.单节点采用编解码一体化设计，支持手动切换成编码或解码节点；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 支持无中心和有中心两种部署方式，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 节点采用无风扇静音设计，采用国产化芯片，自主可控；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 输入分辨率不低于3840*2160@30（向下兼容），输出分辨率不低于3840*2160@60（向下兼容）；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 视频接口:≥2路HDMI，支持视频环出；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 音频接口:≥1路耳麦接口，≥2路平衡LINE音频输入，≥2路平衡LINE音频输出；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 控制接口:≥2路RS-232，≥1路RS-485，≥4路I/O，≥4路IR红外控制，≥2路USB，≥1路Type-c接口；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 具备RJ45网口和SFP光口网络备份功能；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3.6</w:t>
            </w:r>
          </w:p>
        </w:tc>
        <w:tc>
          <w:tcPr>
            <w:tcW w:w="766" w:type="dxa"/>
            <w:vMerge w:val="restart"/>
            <w:vAlign w:val="center"/>
          </w:tcPr>
          <w:p>
            <w:r>
              <w:rPr>
                <w:rFonts w:hint="eastAsia"/>
              </w:rPr>
              <w:t>HDMI拼接输出卡</w:t>
            </w:r>
          </w:p>
        </w:tc>
        <w:tc>
          <w:tcPr>
            <w:tcW w:w="4577" w:type="dxa"/>
            <w:noWrap/>
            <w:vAlign w:val="center"/>
          </w:tcPr>
          <w:p>
            <w:r>
              <w:rPr>
                <w:rFonts w:hint="eastAsia"/>
              </w:rPr>
              <w:t>1.单节点采用编解码一体化设计，支持手动切换成编码或解码节点；</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 支持无中心和有中心两种部署方式，</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 节点采用无风扇静音设计，采用国产化芯片，自主可控；</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4. 输入分辨率不低于3840*2160@30（向下兼容），输出分辨率不低于3840*2160@60（向下兼容）；</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 视频接口:≥2路HDMI，支持视频环出；</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6. 音频接口:≥1路耳麦接口，≥2路平衡LINE音频输入，≥2路平衡LINE音频输出；</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7. 控制接口:≥2路RS-232，≥1路RS-485，≥4路I/O，≥4路IR红外控制，≥2路USB，≥1路Type-c接口；</w:t>
            </w:r>
            <w:r>
              <w:rPr>
                <w:rFonts w:hint="eastAsia"/>
                <w:b/>
                <w:bCs/>
                <w:color w:val="FF0000"/>
              </w:rPr>
              <w:t xml:space="preserve">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8. 具备RJ45网口和SFP光口网络备份功能；</w:t>
            </w:r>
            <w:r>
              <w:rPr>
                <w:rFonts w:hint="eastAsia"/>
                <w:b/>
                <w:bCs/>
                <w:color w:val="FF0000"/>
              </w:rPr>
              <w:t xml:space="preserve">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3.7</w:t>
            </w:r>
          </w:p>
        </w:tc>
        <w:tc>
          <w:tcPr>
            <w:tcW w:w="766" w:type="dxa"/>
            <w:vMerge w:val="restart"/>
            <w:vAlign w:val="center"/>
          </w:tcPr>
          <w:p>
            <w:r>
              <w:rPr>
                <w:rFonts w:hint="eastAsia"/>
              </w:rPr>
              <w:t>可视化运维节点</w:t>
            </w:r>
          </w:p>
        </w:tc>
        <w:tc>
          <w:tcPr>
            <w:tcW w:w="4577" w:type="dxa"/>
            <w:noWrap/>
            <w:vAlign w:val="center"/>
          </w:tcPr>
          <w:p>
            <w:r>
              <w:rPr>
                <w:rFonts w:hint="eastAsia" w:ascii="宋体" w:hAnsi="宋体" w:cs="宋体"/>
                <w:b/>
                <w:bCs/>
                <w:color w:val="FF0000"/>
                <w:kern w:val="0"/>
                <w:szCs w:val="21"/>
                <w:lang w:bidi="ar"/>
              </w:rPr>
              <w:t>1、▲采用一体化设计，同时内置智能中控、视频切换矩阵、数字音频处理器、POE千兆网络交换机、数字功放、多路全高清编解码器、SIP双流呼叫、本地录播、远程管理等模块。（提供第三方检测机构出具的检测报告扫描件，原件备查）</w:t>
            </w:r>
          </w:p>
        </w:tc>
        <w:tc>
          <w:tcPr>
            <w:tcW w:w="1050" w:type="dxa"/>
            <w:noWrap/>
            <w:vAlign w:val="center"/>
          </w:tcPr>
          <w:p>
            <w:pPr>
              <w:rPr>
                <w:rFonts w:hint="eastAsia" w:ascii="宋体" w:hAnsi="宋体" w:cs="宋体"/>
                <w:b/>
                <w:bCs/>
                <w:color w:val="FF0000"/>
                <w:kern w:val="0"/>
                <w:szCs w:val="21"/>
                <w:lang w:bidi="ar"/>
              </w:rPr>
            </w:pPr>
          </w:p>
        </w:tc>
        <w:tc>
          <w:tcPr>
            <w:tcW w:w="773" w:type="dxa"/>
            <w:noWrap/>
            <w:vAlign w:val="center"/>
          </w:tcPr>
          <w:p>
            <w:pPr>
              <w:rPr>
                <w:rFonts w:hint="eastAsia" w:ascii="宋体" w:hAnsi="宋体" w:cs="宋体"/>
                <w:b/>
                <w:bCs/>
                <w:color w:val="FF0000"/>
                <w:kern w:val="0"/>
                <w:szCs w:val="21"/>
                <w:lang w:bidi="ar"/>
              </w:rPr>
            </w:pPr>
          </w:p>
        </w:tc>
        <w:tc>
          <w:tcPr>
            <w:tcW w:w="807" w:type="dxa"/>
            <w:noWrap/>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2、视频输入：不少于4路高清视频输入接口；本地IP网络摄像机接入支持最大不少于12路，同时网络转发支持最大不少于4路；</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3、不少于2路HDMI输出接口；</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4、不少于8路凤凰端子输入，同时支持48V幻像供电MIC输入和line in线性输入，不少于4路HDMI内嵌音频输入等；</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color w:val="000000"/>
              </w:rPr>
            </w:pPr>
            <w:r>
              <w:rPr>
                <w:rFonts w:ascii="Times New Roman" w:hAnsi="Times New Roman" w:cs="Times New Roman"/>
                <w:color w:val="auto"/>
                <w:kern w:val="2"/>
                <w:szCs w:val="24"/>
              </w:rPr>
              <w:t>5、不少于2对L/R凤凰端子立体声输出、不低于2路100W@8欧姆的数字功放输出；</w:t>
            </w:r>
            <w:r>
              <w:t xml:space="preserve"> </w:t>
            </w:r>
          </w:p>
        </w:tc>
        <w:tc>
          <w:tcPr>
            <w:tcW w:w="1050" w:type="dxa"/>
            <w:noWrap/>
            <w:vAlign w:val="center"/>
          </w:tcPr>
          <w:p>
            <w:pPr>
              <w:rPr>
                <w:rFonts w:ascii="Times New Roman" w:hAnsi="Times New Roman" w:cs="Times New Roman"/>
                <w:color w:val="auto"/>
                <w:kern w:val="2"/>
                <w:szCs w:val="24"/>
              </w:rPr>
            </w:pPr>
          </w:p>
        </w:tc>
        <w:tc>
          <w:tcPr>
            <w:tcW w:w="773" w:type="dxa"/>
            <w:noWrap/>
            <w:vAlign w:val="center"/>
          </w:tcPr>
          <w:p>
            <w:pPr>
              <w:rPr>
                <w:rFonts w:ascii="Times New Roman" w:hAnsi="Times New Roman" w:cs="Times New Roman"/>
                <w:color w:val="auto"/>
                <w:kern w:val="2"/>
                <w:szCs w:val="24"/>
              </w:rPr>
            </w:pPr>
          </w:p>
        </w:tc>
        <w:tc>
          <w:tcPr>
            <w:tcW w:w="807" w:type="dxa"/>
            <w:noWrap/>
            <w:vAlign w:val="center"/>
          </w:tcPr>
          <w:p>
            <w:pPr>
              <w:rPr>
                <w:rFonts w:ascii="Times New Roman" w:hAnsi="Times New Roman" w:cs="Times New Roman"/>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6、不少于4路RS-232/RS-485、2路RELAY、2路I/O、2路红外IR；</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7、不少于6路网口，可划分VLAN，其中4路支持POE供电；</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8、不少于2路USB Type-A型，支持录制内容自动拷贝，系统升级；1路USB Type-B型口；</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9、支持录制文件内容管理（下载/导出/编辑/删除），标配</w:t>
            </w:r>
            <w:r>
              <w:rPr>
                <w:rStyle w:val="491"/>
                <w:rFonts w:hint="default" w:cs="Arial"/>
                <w:lang w:val="en"/>
              </w:rPr>
              <w:t>≥</w:t>
            </w:r>
            <w:r>
              <w:rPr>
                <w:rFonts w:hint="eastAsia"/>
              </w:rPr>
              <w:t>2TB监控级硬盘，最大可选配到12TB移动硬盘；</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10、电源双开关保证系统安全，前面板强电软开关，后面板强电硬开关；</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11、可安装于标准19英寸机架，机身高度不大于1U；</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ascii="宋体" w:hAnsi="宋体" w:cs="宋体"/>
                <w:b/>
                <w:bCs/>
                <w:color w:val="FF0000"/>
                <w:kern w:val="0"/>
                <w:szCs w:val="21"/>
                <w:lang w:bidi="ar"/>
              </w:rPr>
              <w:t>12、▲同时支持RS-232、RS-485、RELAY、I/O、红外、USB、功放、MIC输入（支持幻象供电）、立体声、HDMI（兼容DVI信号）、IP网络编解码输入输出等丰富的接口类型。（提供第三方检测机构出具的检测报告扫描件，原件备查）</w:t>
            </w:r>
          </w:p>
        </w:tc>
        <w:tc>
          <w:tcPr>
            <w:tcW w:w="1050" w:type="dxa"/>
            <w:noWrap/>
            <w:vAlign w:val="center"/>
          </w:tcPr>
          <w:p>
            <w:pPr>
              <w:rPr>
                <w:rFonts w:hint="eastAsia" w:ascii="宋体" w:hAnsi="宋体" w:cs="宋体"/>
                <w:b/>
                <w:bCs/>
                <w:color w:val="FF0000"/>
                <w:kern w:val="0"/>
                <w:szCs w:val="21"/>
                <w:lang w:bidi="ar"/>
              </w:rPr>
            </w:pPr>
          </w:p>
        </w:tc>
        <w:tc>
          <w:tcPr>
            <w:tcW w:w="773" w:type="dxa"/>
            <w:noWrap/>
            <w:vAlign w:val="center"/>
          </w:tcPr>
          <w:p>
            <w:pPr>
              <w:rPr>
                <w:rFonts w:hint="eastAsia" w:ascii="宋体" w:hAnsi="宋体" w:cs="宋体"/>
                <w:b/>
                <w:bCs/>
                <w:color w:val="FF0000"/>
                <w:kern w:val="0"/>
                <w:szCs w:val="21"/>
                <w:lang w:bidi="ar"/>
              </w:rPr>
            </w:pPr>
          </w:p>
        </w:tc>
        <w:tc>
          <w:tcPr>
            <w:tcW w:w="807" w:type="dxa"/>
            <w:noWrap/>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13、集成超强性能的DSP和视音频矩阵，单台设备可以“同时”实现多种场景应用:本地多媒体中控应用、远程互动、远程直播录播、远程巡视等应用；</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14、支持HDMI信号与网络RTSP流信号接入，对每路视频（HDMI IN）独立编解码，支持4K30视频编解码，最大4路1080P60编码，同时最大4路1080P@60解码，或者8路1080P@30编码和8路1080P@30解码；支持H.265、H.264 HP Level 4.2，向下兼容H.264 BP和MP；</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15、综合使用超强纠错(SEC)、丢包重传(ARQ)、视频FEC（前向纠错）3种抗丢包处理技术，在网络丢包率达20%环境下仍可保障视频流畅；</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16、采用智能调速（IRC）技术，在带宽受限导致丢包的情况下，预测并动态调整视频呼叫时的码流带宽；</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17、视频互动具备最大可达600ms的抗网络抖动能力，保证网络存在抖动时基本不影响互动呼叫的顺利进行，主副码流最大可调节到8Mbps，流控最大20倍，可调整I帧请求间隔时间，解码容忍错误阀值最大100；</w:t>
            </w:r>
            <w:r>
              <w:rPr>
                <w:rFonts w:hint="eastAsia"/>
                <w:b/>
                <w:bCs/>
                <w:color w:val="FF0000"/>
              </w:rPr>
              <w:t xml:space="preserve">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18、内置视频矩阵、多画面拼接和录播，支持各种视频切换、分配、合成拼接、分割、字幕叠加、图像参数调节，内置本地录播及存储功能，支持网络直播、点播和推送功能；</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19、内置视频分割功能，可实现对视频输入信号进行分屏(单分屏、双分屏、三分屏、九分屏、十六分屏等)、画面合成(单画面、画中画、画外画合成)、字幕叠加；</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20、支持对输入视频分辨率适配、切换、分配、画面分割、字幕叠加、图像参数调节；</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ascii="宋体" w:hAnsi="宋体" w:cs="宋体"/>
                <w:b/>
                <w:bCs/>
                <w:color w:val="FF0000"/>
                <w:kern w:val="0"/>
                <w:szCs w:val="21"/>
                <w:lang w:bidi="ar"/>
              </w:rPr>
              <w:t>21、▲可作为分布式系统的输入输出接口机使用，支持接入分布式系统满足各种客户端可视化控制及分布式上屏显示；支持与多媒体分布式控制系统配套，支持通过可视化图像预览进行设备控制，支持作为分布式节点终端，并实现设备之间的互联互通；（提供第三方检测机构出具的检测报告扫描件，原件备查）</w:t>
            </w:r>
          </w:p>
        </w:tc>
        <w:tc>
          <w:tcPr>
            <w:tcW w:w="1050" w:type="dxa"/>
            <w:noWrap/>
            <w:vAlign w:val="center"/>
          </w:tcPr>
          <w:p>
            <w:pPr>
              <w:rPr>
                <w:rFonts w:hint="eastAsia" w:ascii="宋体" w:hAnsi="宋体" w:cs="宋体"/>
                <w:b/>
                <w:bCs/>
                <w:color w:val="FF0000"/>
                <w:kern w:val="0"/>
                <w:szCs w:val="21"/>
                <w:lang w:bidi="ar"/>
              </w:rPr>
            </w:pPr>
          </w:p>
        </w:tc>
        <w:tc>
          <w:tcPr>
            <w:tcW w:w="773" w:type="dxa"/>
            <w:noWrap/>
            <w:vAlign w:val="center"/>
          </w:tcPr>
          <w:p>
            <w:pPr>
              <w:rPr>
                <w:rFonts w:hint="eastAsia" w:ascii="宋体" w:hAnsi="宋体" w:cs="宋体"/>
                <w:b/>
                <w:bCs/>
                <w:color w:val="FF0000"/>
                <w:kern w:val="0"/>
                <w:szCs w:val="21"/>
                <w:lang w:bidi="ar"/>
              </w:rPr>
            </w:pPr>
          </w:p>
        </w:tc>
        <w:tc>
          <w:tcPr>
            <w:tcW w:w="807" w:type="dxa"/>
            <w:noWrap/>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22、音频处理模块支持自动回声消除（AEC）、自动增益控制（AGC）、自动噪声消除/抑制（ANC/ANS）、自动反馈消除（AFC）、混音矩阵（AM）、丢包补偿（PLC）；</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23、 单机支持最大6方会议能力，支持创建多个会议模板，支持预约会议，按照预约时间自动召集入会;可以在会议过程中新增邀请终端入会，也可以将某个终端从会议中踢出;支持对任意会场进行静音/开音，或一键全部闭音/开音；</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restart"/>
            <w:shd w:val="clear" w:color="000000" w:fill="FFFFFF"/>
            <w:noWrap/>
            <w:vAlign w:val="center"/>
          </w:tcPr>
          <w:p>
            <w:r>
              <w:rPr>
                <w:rFonts w:hint="eastAsia"/>
              </w:rPr>
              <w:t>3.8</w:t>
            </w:r>
          </w:p>
        </w:tc>
        <w:tc>
          <w:tcPr>
            <w:tcW w:w="766" w:type="dxa"/>
            <w:vMerge w:val="restart"/>
            <w:shd w:val="clear" w:color="000000" w:fill="FFFFFF"/>
            <w:vAlign w:val="center"/>
          </w:tcPr>
          <w:p>
            <w:r>
              <w:rPr>
                <w:rFonts w:hint="eastAsia"/>
              </w:rPr>
              <w:t>主链路接入交换机</w:t>
            </w:r>
          </w:p>
        </w:tc>
        <w:tc>
          <w:tcPr>
            <w:tcW w:w="4577" w:type="dxa"/>
            <w:shd w:val="clear" w:color="000000" w:fill="FFFFFF"/>
            <w:vAlign w:val="center"/>
          </w:tcPr>
          <w:p>
            <w:pPr>
              <w:rPr>
                <w:rFonts w:cs="宋体"/>
                <w:color w:val="000000"/>
                <w:kern w:val="0"/>
                <w:szCs w:val="21"/>
              </w:rPr>
            </w:pPr>
            <w:r>
              <w:t>1.</w:t>
            </w:r>
            <w:r>
              <w:rPr>
                <w:rFonts w:hint="eastAsia"/>
              </w:rPr>
              <w:t>交换容量≥</w:t>
            </w:r>
            <w:r>
              <w:t>4.8Tbps</w:t>
            </w:r>
            <w:r>
              <w:rPr>
                <w:rFonts w:hint="eastAsia"/>
              </w:rPr>
              <w:t>，包转发率≥</w:t>
            </w:r>
            <w:r>
              <w:t>2000Mpps</w:t>
            </w:r>
            <w:r>
              <w:rPr>
                <w:rFonts w:hint="eastAsia"/>
              </w:rPr>
              <w:t>；</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2.</w:t>
            </w:r>
            <w:r>
              <w:rPr>
                <w:rFonts w:hint="eastAsia"/>
              </w:rPr>
              <w:t>网络端口：</w:t>
            </w:r>
            <w:r>
              <w:t>48</w:t>
            </w:r>
            <w:r>
              <w:rPr>
                <w:rFonts w:hint="eastAsia"/>
              </w:rPr>
              <w:t>×</w:t>
            </w:r>
            <w:r>
              <w:t>10GE SFP+</w:t>
            </w:r>
            <w:r>
              <w:rPr>
                <w:rFonts w:hint="eastAsia"/>
              </w:rPr>
              <w:t>端口，</w:t>
            </w:r>
            <w:r>
              <w:t>6</w:t>
            </w:r>
            <w:r>
              <w:rPr>
                <w:rFonts w:hint="eastAsia"/>
              </w:rPr>
              <w:t>×</w:t>
            </w:r>
            <w:r>
              <w:t>40GE/100GE QSFP28</w:t>
            </w:r>
            <w:r>
              <w:rPr>
                <w:rFonts w:hint="eastAsia"/>
              </w:rPr>
              <w:t>端口；</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3.</w:t>
            </w:r>
            <w:r>
              <w:rPr>
                <w:rFonts w:hint="eastAsia"/>
              </w:rPr>
              <w:t>配置电源≥</w:t>
            </w:r>
            <w:r>
              <w:t>2</w:t>
            </w:r>
            <w:r>
              <w:rPr>
                <w:rFonts w:hint="eastAsia"/>
              </w:rPr>
              <w:t>个</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4.</w:t>
            </w:r>
            <w:r>
              <w:rPr>
                <w:rFonts w:hint="eastAsia"/>
              </w:rPr>
              <w:t>支持静态路由、</w:t>
            </w:r>
            <w:r>
              <w:t>RIPv1/v2</w:t>
            </w:r>
            <w:r>
              <w:rPr>
                <w:rFonts w:hint="eastAsia"/>
              </w:rPr>
              <w:t>、</w:t>
            </w:r>
            <w:r>
              <w:t>OSPFv2</w:t>
            </w:r>
            <w:r>
              <w:rPr>
                <w:rFonts w:hint="eastAsia"/>
              </w:rPr>
              <w:t>、</w:t>
            </w:r>
            <w:r>
              <w:t>ISIS</w:t>
            </w:r>
            <w:r>
              <w:rPr>
                <w:rFonts w:hint="eastAsia"/>
              </w:rPr>
              <w:t>、</w:t>
            </w:r>
            <w:r>
              <w:t>BGP4</w:t>
            </w:r>
            <w:r>
              <w:rPr>
                <w:rFonts w:hint="eastAsia"/>
              </w:rPr>
              <w:t>、</w:t>
            </w:r>
            <w:r>
              <w:t>IPv4 uRPF</w:t>
            </w:r>
            <w:r>
              <w:rPr>
                <w:rFonts w:hint="eastAsia"/>
              </w:rPr>
              <w:t>、</w:t>
            </w:r>
            <w:r>
              <w:t>For IPv6</w:t>
            </w:r>
            <w:r>
              <w:rPr>
                <w:rFonts w:hint="eastAsia"/>
              </w:rPr>
              <w:t>、</w:t>
            </w:r>
            <w:r>
              <w:t>RIPng</w:t>
            </w:r>
            <w:r>
              <w:rPr>
                <w:rFonts w:hint="eastAsia"/>
              </w:rPr>
              <w:t>、</w:t>
            </w:r>
            <w:r>
              <w:t>OSPFv3</w:t>
            </w:r>
            <w:r>
              <w:rPr>
                <w:rFonts w:hint="eastAsia"/>
              </w:rPr>
              <w:t>、</w:t>
            </w:r>
            <w:r>
              <w:t>ISISv6</w:t>
            </w:r>
            <w:r>
              <w:rPr>
                <w:rFonts w:hint="eastAsia"/>
              </w:rPr>
              <w:t>、</w:t>
            </w:r>
            <w:r>
              <w:t>BGP4+ For IPv6</w:t>
            </w:r>
            <w:r>
              <w:rPr>
                <w:rFonts w:hint="eastAsia"/>
              </w:rPr>
              <w:t>、</w:t>
            </w:r>
            <w:r>
              <w:t>IPv6 uRPF</w:t>
            </w:r>
            <w:r>
              <w:rPr>
                <w:rFonts w:hint="eastAsia"/>
              </w:rPr>
              <w:t>。</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 xml:space="preserve">5. </w:t>
            </w:r>
            <w:r>
              <w:rPr>
                <w:rFonts w:hint="eastAsia"/>
              </w:rPr>
              <w:t>交换芯片、</w:t>
            </w:r>
            <w:r>
              <w:t>CPU</w:t>
            </w:r>
            <w:r>
              <w:rPr>
                <w:rFonts w:hint="eastAsia"/>
              </w:rPr>
              <w:t>自主研发。</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56" w:type="dxa"/>
            <w:shd w:val="clear" w:color="000000" w:fill="FFFFFF"/>
            <w:noWrap/>
            <w:vAlign w:val="center"/>
          </w:tcPr>
          <w:p>
            <w:r>
              <w:rPr>
                <w:rFonts w:hint="eastAsia"/>
              </w:rPr>
              <w:t xml:space="preserve">3.9 </w:t>
            </w:r>
          </w:p>
        </w:tc>
        <w:tc>
          <w:tcPr>
            <w:tcW w:w="766" w:type="dxa"/>
            <w:shd w:val="clear" w:color="000000" w:fill="FFFFFF"/>
            <w:vAlign w:val="center"/>
          </w:tcPr>
          <w:p>
            <w:r>
              <w:rPr>
                <w:rFonts w:hint="eastAsia"/>
              </w:rPr>
              <w:t>主链路万兆光模块</w:t>
            </w:r>
          </w:p>
        </w:tc>
        <w:tc>
          <w:tcPr>
            <w:tcW w:w="4577" w:type="dxa"/>
            <w:shd w:val="clear" w:color="000000" w:fill="FFFFFF"/>
            <w:vAlign w:val="center"/>
          </w:tcPr>
          <w:p>
            <w:pPr>
              <w:rPr>
                <w:rFonts w:cs="宋体"/>
                <w:color w:val="000000"/>
                <w:kern w:val="0"/>
                <w:szCs w:val="21"/>
              </w:rPr>
            </w:pPr>
            <w:r>
              <w:t>1. 10Gbps SFP+</w:t>
            </w:r>
            <w:r>
              <w:rPr>
                <w:rFonts w:hint="eastAsia"/>
              </w:rPr>
              <w:t>（多模</w:t>
            </w:r>
            <w:r>
              <w:t>300m/850nm</w:t>
            </w:r>
            <w:r>
              <w:rPr>
                <w:rFonts w:hint="eastAsia"/>
              </w:rPr>
              <w:t>，</w:t>
            </w:r>
            <w:r>
              <w:t>LC</w:t>
            </w:r>
            <w:r>
              <w:rPr>
                <w:rFonts w:hint="eastAsia"/>
              </w:rPr>
              <w:t>接口）光模块</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restart"/>
            <w:shd w:val="clear" w:color="000000" w:fill="FFFFFF"/>
            <w:noWrap/>
            <w:vAlign w:val="center"/>
          </w:tcPr>
          <w:p>
            <w:r>
              <w:rPr>
                <w:rFonts w:hint="eastAsia"/>
              </w:rPr>
              <w:t>3.10</w:t>
            </w:r>
          </w:p>
        </w:tc>
        <w:tc>
          <w:tcPr>
            <w:tcW w:w="766" w:type="dxa"/>
            <w:vMerge w:val="restart"/>
            <w:shd w:val="clear" w:color="000000" w:fill="FFFFFF"/>
            <w:vAlign w:val="center"/>
          </w:tcPr>
          <w:p>
            <w:r>
              <w:rPr>
                <w:rFonts w:hint="eastAsia"/>
              </w:rPr>
              <w:t>冗余备链路接入交换机</w:t>
            </w:r>
          </w:p>
        </w:tc>
        <w:tc>
          <w:tcPr>
            <w:tcW w:w="4577" w:type="dxa"/>
            <w:shd w:val="clear" w:color="000000" w:fill="FFFFFF"/>
            <w:vAlign w:val="center"/>
          </w:tcPr>
          <w:p>
            <w:pPr>
              <w:rPr>
                <w:rFonts w:cs="宋体"/>
                <w:color w:val="000000"/>
                <w:kern w:val="0"/>
                <w:szCs w:val="21"/>
              </w:rPr>
            </w:pPr>
            <w:r>
              <w:t>1.</w:t>
            </w:r>
            <w:r>
              <w:rPr>
                <w:rFonts w:hint="eastAsia"/>
              </w:rPr>
              <w:t>交换容量≥</w:t>
            </w:r>
            <w:r>
              <w:t>4.8Tbps</w:t>
            </w:r>
            <w:r>
              <w:rPr>
                <w:rFonts w:hint="eastAsia"/>
              </w:rPr>
              <w:t>，包转发率≥</w:t>
            </w:r>
            <w:r>
              <w:t>2000Mpps</w:t>
            </w:r>
            <w:r>
              <w:rPr>
                <w:rFonts w:hint="eastAsia"/>
              </w:rPr>
              <w:t>；</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2.</w:t>
            </w:r>
            <w:r>
              <w:rPr>
                <w:rFonts w:hint="eastAsia"/>
              </w:rPr>
              <w:t>网络端口：</w:t>
            </w:r>
            <w:r>
              <w:t>48</w:t>
            </w:r>
            <w:r>
              <w:rPr>
                <w:rFonts w:hint="eastAsia"/>
              </w:rPr>
              <w:t>×</w:t>
            </w:r>
            <w:r>
              <w:t>10GE SFP+</w:t>
            </w:r>
            <w:r>
              <w:rPr>
                <w:rFonts w:hint="eastAsia"/>
              </w:rPr>
              <w:t>端口，</w:t>
            </w:r>
            <w:r>
              <w:t>6</w:t>
            </w:r>
            <w:r>
              <w:rPr>
                <w:rFonts w:hint="eastAsia"/>
              </w:rPr>
              <w:t>×</w:t>
            </w:r>
            <w:r>
              <w:t>40GE/100GE QSFP28</w:t>
            </w:r>
            <w:r>
              <w:rPr>
                <w:rFonts w:hint="eastAsia"/>
              </w:rPr>
              <w:t>端口；</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3.</w:t>
            </w:r>
            <w:r>
              <w:rPr>
                <w:rFonts w:hint="eastAsia"/>
              </w:rPr>
              <w:t>配置电源≥</w:t>
            </w:r>
            <w:r>
              <w:t>2</w:t>
            </w:r>
            <w:r>
              <w:rPr>
                <w:rFonts w:hint="eastAsia"/>
              </w:rPr>
              <w:t>个</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4.</w:t>
            </w:r>
            <w:r>
              <w:rPr>
                <w:rFonts w:hint="eastAsia"/>
              </w:rPr>
              <w:t>支持静态路由、</w:t>
            </w:r>
            <w:r>
              <w:t>RIPv1/v2</w:t>
            </w:r>
            <w:r>
              <w:rPr>
                <w:rFonts w:hint="eastAsia"/>
              </w:rPr>
              <w:t>、</w:t>
            </w:r>
            <w:r>
              <w:t>OSPFv2</w:t>
            </w:r>
            <w:r>
              <w:rPr>
                <w:rFonts w:hint="eastAsia"/>
              </w:rPr>
              <w:t>、</w:t>
            </w:r>
            <w:r>
              <w:t>ISIS</w:t>
            </w:r>
            <w:r>
              <w:rPr>
                <w:rFonts w:hint="eastAsia"/>
              </w:rPr>
              <w:t>、</w:t>
            </w:r>
            <w:r>
              <w:t>BGP4</w:t>
            </w:r>
            <w:r>
              <w:rPr>
                <w:rFonts w:hint="eastAsia"/>
              </w:rPr>
              <w:t>、</w:t>
            </w:r>
            <w:r>
              <w:t>IPv4 uRPF</w:t>
            </w:r>
            <w:r>
              <w:rPr>
                <w:rFonts w:hint="eastAsia"/>
              </w:rPr>
              <w:t>、</w:t>
            </w:r>
            <w:r>
              <w:t>For IPv6</w:t>
            </w:r>
            <w:r>
              <w:rPr>
                <w:rFonts w:hint="eastAsia"/>
              </w:rPr>
              <w:t>、</w:t>
            </w:r>
            <w:r>
              <w:t>RIPng</w:t>
            </w:r>
            <w:r>
              <w:rPr>
                <w:rFonts w:hint="eastAsia"/>
              </w:rPr>
              <w:t>、</w:t>
            </w:r>
            <w:r>
              <w:t>OSPFv3</w:t>
            </w:r>
            <w:r>
              <w:rPr>
                <w:rFonts w:hint="eastAsia"/>
              </w:rPr>
              <w:t>、</w:t>
            </w:r>
            <w:r>
              <w:t>ISISv6</w:t>
            </w:r>
            <w:r>
              <w:rPr>
                <w:rFonts w:hint="eastAsia"/>
              </w:rPr>
              <w:t>、</w:t>
            </w:r>
            <w:r>
              <w:t>BGP4+ For IPv6</w:t>
            </w:r>
            <w:r>
              <w:rPr>
                <w:rFonts w:hint="eastAsia"/>
              </w:rPr>
              <w:t>、</w:t>
            </w:r>
            <w:r>
              <w:t>IPv6 uRPF</w:t>
            </w:r>
            <w:r>
              <w:rPr>
                <w:rFonts w:hint="eastAsia"/>
              </w:rPr>
              <w:t>。</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shd w:val="clear" w:color="000000" w:fill="FFFFFF"/>
            <w:noWrap/>
            <w:vAlign w:val="center"/>
          </w:tcPr>
          <w:p/>
        </w:tc>
        <w:tc>
          <w:tcPr>
            <w:tcW w:w="766" w:type="dxa"/>
            <w:vMerge w:val="continue"/>
            <w:shd w:val="clear" w:color="000000" w:fill="FFFFFF"/>
            <w:vAlign w:val="center"/>
          </w:tcPr>
          <w:p>
            <w:pPr>
              <w:rPr>
                <w:highlight w:val="yellow"/>
              </w:rPr>
            </w:pPr>
          </w:p>
        </w:tc>
        <w:tc>
          <w:tcPr>
            <w:tcW w:w="4577" w:type="dxa"/>
            <w:shd w:val="clear" w:color="000000" w:fill="FFFFFF"/>
            <w:vAlign w:val="center"/>
          </w:tcPr>
          <w:p>
            <w:pPr>
              <w:rPr>
                <w:rFonts w:cs="宋体"/>
                <w:color w:val="000000"/>
                <w:kern w:val="0"/>
                <w:szCs w:val="21"/>
              </w:rPr>
            </w:pPr>
            <w:r>
              <w:t xml:space="preserve">5. </w:t>
            </w:r>
            <w:r>
              <w:rPr>
                <w:rFonts w:hint="eastAsia"/>
              </w:rPr>
              <w:t>交换芯片、</w:t>
            </w:r>
            <w:r>
              <w:t>CPU</w:t>
            </w:r>
            <w:r>
              <w:rPr>
                <w:rFonts w:hint="eastAsia"/>
              </w:rPr>
              <w:t>自主研发。</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56" w:type="dxa"/>
            <w:shd w:val="clear" w:color="000000" w:fill="FFFFFF"/>
            <w:noWrap/>
            <w:vAlign w:val="center"/>
          </w:tcPr>
          <w:p>
            <w:r>
              <w:rPr>
                <w:rFonts w:hint="eastAsia"/>
              </w:rPr>
              <w:t>3.11</w:t>
            </w:r>
          </w:p>
        </w:tc>
        <w:tc>
          <w:tcPr>
            <w:tcW w:w="766" w:type="dxa"/>
            <w:shd w:val="clear" w:color="000000" w:fill="FFFFFF"/>
            <w:vAlign w:val="center"/>
          </w:tcPr>
          <w:p>
            <w:r>
              <w:rPr>
                <w:rFonts w:hint="eastAsia"/>
              </w:rPr>
              <w:t>冗余备链路万兆光模块</w:t>
            </w:r>
          </w:p>
        </w:tc>
        <w:tc>
          <w:tcPr>
            <w:tcW w:w="4577" w:type="dxa"/>
            <w:shd w:val="clear" w:color="000000" w:fill="FFFFFF"/>
            <w:vAlign w:val="center"/>
          </w:tcPr>
          <w:p>
            <w:pPr>
              <w:rPr>
                <w:rFonts w:cs="宋体"/>
                <w:color w:val="000000"/>
                <w:kern w:val="0"/>
                <w:szCs w:val="21"/>
              </w:rPr>
            </w:pPr>
            <w:r>
              <w:t>1. 10Gbps SFP+</w:t>
            </w:r>
            <w:r>
              <w:rPr>
                <w:rFonts w:hint="eastAsia"/>
              </w:rPr>
              <w:t>（多模</w:t>
            </w:r>
            <w:r>
              <w:t>300m/850nm</w:t>
            </w:r>
            <w:r>
              <w:rPr>
                <w:rFonts w:hint="eastAsia"/>
              </w:rPr>
              <w:t>，</w:t>
            </w:r>
            <w:r>
              <w:t>LC</w:t>
            </w:r>
            <w:r>
              <w:rPr>
                <w:rFonts w:hint="eastAsia"/>
              </w:rPr>
              <w:t>接口）光模块</w:t>
            </w:r>
          </w:p>
        </w:tc>
        <w:tc>
          <w:tcPr>
            <w:tcW w:w="1050" w:type="dxa"/>
            <w:shd w:val="clear" w:color="000000" w:fill="FFFFFF"/>
            <w:vAlign w:val="center"/>
          </w:tcPr>
          <w:p/>
        </w:tc>
        <w:tc>
          <w:tcPr>
            <w:tcW w:w="773" w:type="dxa"/>
            <w:shd w:val="clear" w:color="000000" w:fill="FFFFFF"/>
            <w:vAlign w:val="center"/>
          </w:tcPr>
          <w:p/>
        </w:tc>
        <w:tc>
          <w:tcPr>
            <w:tcW w:w="807" w:type="dxa"/>
            <w:shd w:val="clear" w:color="000000"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shd w:val="clear" w:color="000000" w:fill="FFFFFF"/>
            <w:noWrap/>
            <w:vAlign w:val="center"/>
          </w:tcPr>
          <w:p>
            <w:r>
              <w:rPr>
                <w:rFonts w:hint="eastAsia"/>
              </w:rPr>
              <w:t>3.12</w:t>
            </w:r>
          </w:p>
        </w:tc>
        <w:tc>
          <w:tcPr>
            <w:tcW w:w="766" w:type="dxa"/>
            <w:shd w:val="clear" w:color="000000" w:fill="FFFFFF"/>
            <w:vAlign w:val="center"/>
          </w:tcPr>
          <w:p>
            <w:r>
              <w:rPr>
                <w:rFonts w:hint="eastAsia"/>
              </w:rPr>
              <w:t>100G AOC有源光缆</w:t>
            </w:r>
          </w:p>
        </w:tc>
        <w:tc>
          <w:tcPr>
            <w:tcW w:w="4577" w:type="dxa"/>
            <w:shd w:val="clear" w:color="000000" w:fill="FFFFFF"/>
            <w:noWrap/>
            <w:vAlign w:val="center"/>
          </w:tcPr>
          <w:p>
            <w:r>
              <w:rPr>
                <w:rFonts w:hint="eastAsia"/>
              </w:rPr>
              <w:t>100G AOC堆叠线</w:t>
            </w:r>
          </w:p>
        </w:tc>
        <w:tc>
          <w:tcPr>
            <w:tcW w:w="1050" w:type="dxa"/>
            <w:shd w:val="clear" w:color="000000" w:fill="FFFFFF"/>
            <w:noWrap/>
            <w:vAlign w:val="center"/>
          </w:tcPr>
          <w:p>
            <w:pPr>
              <w:rPr>
                <w:rFonts w:hint="eastAsia"/>
              </w:rPr>
            </w:pPr>
          </w:p>
        </w:tc>
        <w:tc>
          <w:tcPr>
            <w:tcW w:w="773" w:type="dxa"/>
            <w:shd w:val="clear" w:color="000000" w:fill="FFFFFF"/>
            <w:noWrap/>
            <w:vAlign w:val="center"/>
          </w:tcPr>
          <w:p>
            <w:pPr>
              <w:rPr>
                <w:rFonts w:hint="eastAsia"/>
              </w:rPr>
            </w:pPr>
          </w:p>
        </w:tc>
        <w:tc>
          <w:tcPr>
            <w:tcW w:w="807" w:type="dxa"/>
            <w:shd w:val="clear" w:color="000000" w:fill="FFFFFF"/>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shd w:val="clear" w:color="000000" w:fill="FFFFFF"/>
            <w:noWrap/>
            <w:vAlign w:val="center"/>
          </w:tcPr>
          <w:p>
            <w:r>
              <w:rPr>
                <w:rFonts w:hint="eastAsia"/>
              </w:rPr>
              <w:t>3.13</w:t>
            </w:r>
          </w:p>
        </w:tc>
        <w:tc>
          <w:tcPr>
            <w:tcW w:w="766" w:type="dxa"/>
            <w:shd w:val="clear" w:color="000000" w:fill="FFFFFF"/>
            <w:vAlign w:val="center"/>
          </w:tcPr>
          <w:p>
            <w:r>
              <w:rPr>
                <w:rFonts w:hint="eastAsia"/>
              </w:rPr>
              <w:t>千兆光转电模块</w:t>
            </w:r>
          </w:p>
        </w:tc>
        <w:tc>
          <w:tcPr>
            <w:tcW w:w="4577" w:type="dxa"/>
            <w:shd w:val="clear" w:color="000000" w:fill="FFFFFF"/>
            <w:noWrap/>
            <w:vAlign w:val="center"/>
          </w:tcPr>
          <w:p>
            <w:r>
              <w:rPr>
                <w:rFonts w:hint="eastAsia"/>
              </w:rPr>
              <w:t>千兆光转电光模块</w:t>
            </w:r>
          </w:p>
        </w:tc>
        <w:tc>
          <w:tcPr>
            <w:tcW w:w="1050" w:type="dxa"/>
            <w:shd w:val="clear" w:color="000000" w:fill="FFFFFF"/>
            <w:noWrap/>
            <w:vAlign w:val="center"/>
          </w:tcPr>
          <w:p>
            <w:pPr>
              <w:rPr>
                <w:rFonts w:hint="eastAsia"/>
              </w:rPr>
            </w:pPr>
          </w:p>
        </w:tc>
        <w:tc>
          <w:tcPr>
            <w:tcW w:w="773" w:type="dxa"/>
            <w:shd w:val="clear" w:color="000000" w:fill="FFFFFF"/>
            <w:noWrap/>
            <w:vAlign w:val="center"/>
          </w:tcPr>
          <w:p>
            <w:pPr>
              <w:rPr>
                <w:rFonts w:hint="eastAsia"/>
              </w:rPr>
            </w:pPr>
          </w:p>
        </w:tc>
        <w:tc>
          <w:tcPr>
            <w:tcW w:w="807" w:type="dxa"/>
            <w:shd w:val="clear" w:color="000000" w:fill="FFFFFF"/>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3.14</w:t>
            </w:r>
          </w:p>
        </w:tc>
        <w:tc>
          <w:tcPr>
            <w:tcW w:w="766" w:type="dxa"/>
            <w:vMerge w:val="restart"/>
            <w:vAlign w:val="center"/>
          </w:tcPr>
          <w:p>
            <w:r>
              <w:rPr>
                <w:rFonts w:hint="eastAsia"/>
              </w:rPr>
              <w:t>中控节点</w:t>
            </w:r>
          </w:p>
        </w:tc>
        <w:tc>
          <w:tcPr>
            <w:tcW w:w="4577" w:type="dxa"/>
            <w:vAlign w:val="center"/>
          </w:tcPr>
          <w:p>
            <w:r>
              <w:rPr>
                <w:rFonts w:hint="eastAsia"/>
              </w:rPr>
              <w:t>1、支持建立多个不同工程界面，界面可自适应屏幕分辨率</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2、支持宏模块、用户自建模块、云端资源共享等。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3、支持Tcp、Udp、Telnet、Http、Snmp、Mqtt等丰富的网络协议。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4、支持浏览器在线编程调试，无需安装任何软件。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5.不少于8路隔离低压继电器30VDC/AC 1A</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6.不少于8路数字I/O输入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7.不少于8路红外或单向RS-232串行通讯口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8.不少于8路双向RS-232/422/485串行通讯口(带隔离保护)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9.不少于1路RST系统复位按钮和3个LED系统状态指示灯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 xml:space="preserve">10.前面板带液晶显示屏和红外学习窗 </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 xml:space="preserve">11.前面板不少于4个可编程按键 </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3.15</w:t>
            </w:r>
          </w:p>
        </w:tc>
        <w:tc>
          <w:tcPr>
            <w:tcW w:w="766" w:type="dxa"/>
            <w:vMerge w:val="restart"/>
            <w:vAlign w:val="center"/>
          </w:tcPr>
          <w:p>
            <w:r>
              <w:rPr>
                <w:rFonts w:hint="eastAsia"/>
              </w:rPr>
              <w:t>电源控制器</w:t>
            </w:r>
          </w:p>
        </w:tc>
        <w:tc>
          <w:tcPr>
            <w:tcW w:w="4577" w:type="dxa"/>
            <w:vAlign w:val="center"/>
          </w:tcPr>
          <w:p>
            <w:r>
              <w:rPr>
                <w:rFonts w:hint="eastAsia"/>
              </w:rPr>
              <w:t>1.总功率≥6500W，设备总负载输出电流≥30A，单路插座最大输出电流≥10A；</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2.前面板≥1个国标5芯插座常供电，后面板≥8个插座可以接受控制；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3.每个电源插座可单独控制，关机后自动记忆。全开启或全关闭时，可单独设置每个通道的延时时间，延时≥1-900秒；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4.支持每路电源输出电流过大过小时发出告警信息，告警电流阈值、时间阈值可配置，默认不启用；通过网络上报告警信息给第三方远程运维平台；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5.设备断电再上电后自动进入配置的预置模式，包括：全开，全关，恢复断电前状态；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6.≥8组定时器可任意组合；支持配置每路输出的开关定时，循环周期可配置仅一次或每天、每周、每月循环执行等；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7.前面板具有液晶显示屏，轮询显示设备工作信息，如：设备名称/设备型号，网络信息，系统日期，每通道的电流/电压/统计总电量，可监测每一路的状态；</w:t>
            </w:r>
            <w:r>
              <w:rPr>
                <w:rFonts w:hint="eastAsia"/>
                <w:b/>
                <w:bCs/>
                <w:color w:val="FF0000"/>
              </w:rPr>
              <w:t xml:space="preserve">   </w:t>
            </w:r>
            <w:r>
              <w:rPr>
                <w:rFonts w:hint="eastAsia"/>
              </w:rPr>
              <w:t xml:space="preserve">  </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8.为防止误触操作，通过设备前面板 lock 按键锁定或解锁电源输出控制按键；当操作前面板控制按键时，具有提示音；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9.支持配置设备工作模式，包括：时序器模式、继电器模式，时序器模式下可以配置每通道开关的顺序和延时，继电器模式只能通过手动按键、网页后台、控制命令的方式控制每通道的开关；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 xml:space="preserve">10.支持第三方平台通过网络控制设备，可远程获取输入电压、每一路输出电流、功耗、用电量、工作时长、异常告警等信息，远程开关智慧运维电量管理器的输出、配置工作模式、上电延迟时间、定时开关等参数；远程电量统计接口（当前每路输出电流、当前每路输出功耗），每一路端口的运行状态；（提供第三方检测机构出具的检测报告扫描件，原件备查） </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11.≥1路RJ45网络接口，支持TCP/UDP网络控制协议；通过 J45网可以接口实现智能级联，可同时控制≥200台智慧运维电量管理器；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12.≥1路RS232控制接口，支持串口控制协议；支持提供API接口，被三方系统集成管理，提供 websocket 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3.16</w:t>
            </w:r>
          </w:p>
        </w:tc>
        <w:tc>
          <w:tcPr>
            <w:tcW w:w="766" w:type="dxa"/>
            <w:vAlign w:val="center"/>
          </w:tcPr>
          <w:p>
            <w:r>
              <w:rPr>
                <w:rFonts w:hint="eastAsia"/>
              </w:rPr>
              <w:t>操控终端</w:t>
            </w:r>
          </w:p>
        </w:tc>
        <w:tc>
          <w:tcPr>
            <w:tcW w:w="4577" w:type="dxa"/>
            <w:vAlign w:val="center"/>
          </w:tcPr>
          <w:p>
            <w:r>
              <w:rPr>
                <w:rFonts w:hint="eastAsia"/>
              </w:rPr>
              <w:t>≥15.6寸触摸一体机，安卓操作系统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3.17</w:t>
            </w:r>
          </w:p>
        </w:tc>
        <w:tc>
          <w:tcPr>
            <w:tcW w:w="766" w:type="dxa"/>
            <w:vAlign w:val="center"/>
          </w:tcPr>
          <w:p>
            <w:r>
              <w:rPr>
                <w:rFonts w:hint="eastAsia"/>
              </w:rPr>
              <w:t>线材及其他</w:t>
            </w:r>
          </w:p>
        </w:tc>
        <w:tc>
          <w:tcPr>
            <w:tcW w:w="4577" w:type="dxa"/>
            <w:noWrap/>
            <w:vAlign w:val="center"/>
          </w:tcPr>
          <w:p>
            <w:r>
              <w:rPr>
                <w:rFonts w:hint="eastAsia"/>
              </w:rPr>
              <w:t>安装配套网络线材及辅材</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56" w:type="dxa"/>
            <w:noWrap/>
            <w:vAlign w:val="center"/>
          </w:tcPr>
          <w:p>
            <w:r>
              <w:rPr>
                <w:rFonts w:hint="eastAsia"/>
              </w:rPr>
              <w:t>4</w:t>
            </w:r>
          </w:p>
        </w:tc>
        <w:tc>
          <w:tcPr>
            <w:tcW w:w="5343" w:type="dxa"/>
            <w:gridSpan w:val="2"/>
            <w:vAlign w:val="center"/>
          </w:tcPr>
          <w:p>
            <w:r>
              <w:rPr>
                <w:rFonts w:hint="eastAsia"/>
              </w:rPr>
              <w:t>远程视频会议系统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4.1</w:t>
            </w:r>
          </w:p>
        </w:tc>
        <w:tc>
          <w:tcPr>
            <w:tcW w:w="766" w:type="dxa"/>
            <w:vMerge w:val="restart"/>
            <w:vAlign w:val="center"/>
          </w:tcPr>
          <w:p>
            <w:r>
              <w:rPr>
                <w:rFonts w:hint="eastAsia"/>
              </w:rPr>
              <w:t>会议管理平台</w:t>
            </w:r>
          </w:p>
        </w:tc>
        <w:tc>
          <w:tcPr>
            <w:tcW w:w="4577" w:type="dxa"/>
            <w:vAlign w:val="center"/>
          </w:tcPr>
          <w:p>
            <w:pPr>
              <w:rPr>
                <w:color w:val="000000"/>
              </w:rPr>
            </w:pPr>
            <w:r>
              <w:rPr>
                <w:rFonts w:hint="eastAsia" w:ascii="宋体" w:hAnsi="宋体" w:cs="宋体"/>
                <w:b/>
                <w:bCs/>
                <w:color w:val="FF0000"/>
                <w:kern w:val="0"/>
                <w:szCs w:val="21"/>
                <w:lang w:bidi="ar"/>
              </w:rPr>
              <w:t>1、▲支持内置MCU设备，无需单独硬件进行部署；（提供第三方检测机构出具的检测报告扫描件，原件备查）。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2、支持容器微服务架构，支持将不同功能的业务部署在不同的容器内运行。</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3、支持发起即时会议、发起预约会议、发起周期会议、修改/取消预约会议、成员加入/退出会议、结束会议、延长会议。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4、支持分权分域管理。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5、支持用户权限三员分离，支持系统管理员、安全保密管理员、审计员用户角色；</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6、支持会议发言权限控制，会议管理员或会议主席终端可控制是否允许发言。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7、支持会议拆分和合并功能；</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8、支持语音激励会控、导演会控、主席会控等多种会议管理。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9、在会议进行过程中，会议主待人可以锁定会议，不允许主持人之外的其他终端主动加入会议；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10、支持广播源单/多画面切换，支持广播源浏览和轮询。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11、支持打开或关闭终端的扬声器和麦克风，支持批量操作，支持一键静音和闭音。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12、支持点名发言，会议管理员（主持人）或会议主席可以点击某个会场进行点名发言。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13、可以选择多个会场进入一个浏览列表，并指定一个固定的会场轮训时间，业务系统按照时间间隔进行会场轮询或主席浏览。</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4.2</w:t>
            </w:r>
          </w:p>
        </w:tc>
        <w:tc>
          <w:tcPr>
            <w:tcW w:w="766" w:type="dxa"/>
            <w:vMerge w:val="restart"/>
            <w:vAlign w:val="center"/>
          </w:tcPr>
          <w:p>
            <w:r>
              <w:rPr>
                <w:rFonts w:hint="eastAsia"/>
              </w:rPr>
              <w:t>视频调度录制平台</w:t>
            </w:r>
          </w:p>
        </w:tc>
        <w:tc>
          <w:tcPr>
            <w:tcW w:w="4577" w:type="dxa"/>
            <w:vAlign w:val="center"/>
          </w:tcPr>
          <w:p>
            <w:r>
              <w:rPr>
                <w:rFonts w:hint="eastAsia"/>
              </w:rPr>
              <w:t>1、支持H.265、H.264等视频编解码协议。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2、支持G.722、AAC-LD等音频编解码协议。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3、支持4K、1080P、720P等图像格式。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4、支持不低于6组会议并发录制，每组会议2路视频1路音频同步录制。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5、内置不小于2T硬盘。</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4.3</w:t>
            </w:r>
          </w:p>
        </w:tc>
        <w:tc>
          <w:tcPr>
            <w:tcW w:w="766" w:type="dxa"/>
            <w:vMerge w:val="restart"/>
            <w:vAlign w:val="center"/>
          </w:tcPr>
          <w:p>
            <w:r>
              <w:rPr>
                <w:rFonts w:hint="eastAsia"/>
              </w:rPr>
              <w:t>多点控制单元MCU</w:t>
            </w:r>
          </w:p>
        </w:tc>
        <w:tc>
          <w:tcPr>
            <w:tcW w:w="4577" w:type="dxa"/>
            <w:vAlign w:val="center"/>
          </w:tcPr>
          <w:p>
            <w:r>
              <w:rPr>
                <w:rFonts w:hint="eastAsia"/>
              </w:rPr>
              <w:t>1、电源、芯片、媒体插卡、MCU整机、网口、风扇、硬盘多重备份。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2、电信级器件和加工工艺、稳定可靠，支持7x24小时连续正常工作。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3、单台设备支持不少于200路会议终端接入。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 ITU-T H.323、IETF SIP通信协议。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5、支持1Mbps带宽实现4K会议效果；</w:t>
            </w:r>
            <w:r>
              <w:rPr>
                <w:rFonts w:hint="eastAsia"/>
              </w:rPr>
              <w:t xml:space="preserve"> </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6、支持H.265、H.264HP、H.264SVC等视频编解码协议。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7、支持G.711A、G.722.1C、G.729、AAC_LD等音频编解码协议；</w:t>
            </w:r>
            <w:r>
              <w:rPr>
                <w:rFonts w:hint="eastAsia"/>
                <w:b/>
                <w:bCs/>
                <w:color w:val="FF0000"/>
              </w:rPr>
              <w:t xml:space="preserve">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8、支持BFCP、H.239辅流标准协议。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9、支持主视频达到4K30时，辅视频同时达到4K30超高清效果。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10、支持动态端口资源分配，1路4K30资源可用于2路1080P60或4路1080P30。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11、在IP网络状态不好的情况下，最大支持网络40%丢包时不影响会议进行，视频流畅，无花屏现象；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12、支持MCU冗余备份功能，当任意MCU发生故障时，自动将会议调度在其他MCU，无手动配置。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13、支持自动会议多画面，支持至少25画面。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14、支持辅流加入多画面，实现在多分屏中显示辅流内容。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15、支持AVC、SVC混合的会议模式；</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16、支持断线重呼功能，可自动重邀掉线终端再次入会。</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4.4</w:t>
            </w:r>
          </w:p>
        </w:tc>
        <w:tc>
          <w:tcPr>
            <w:tcW w:w="766" w:type="dxa"/>
            <w:vMerge w:val="restart"/>
            <w:vAlign w:val="center"/>
          </w:tcPr>
          <w:p>
            <w:r>
              <w:rPr>
                <w:rFonts w:hint="eastAsia"/>
              </w:rPr>
              <w:t>VDC服务器</w:t>
            </w:r>
          </w:p>
        </w:tc>
        <w:tc>
          <w:tcPr>
            <w:tcW w:w="4577" w:type="dxa"/>
            <w:vAlign w:val="center"/>
          </w:tcPr>
          <w:p>
            <w:r>
              <w:rPr>
                <w:rFonts w:hint="eastAsia"/>
              </w:rPr>
              <w:t>1、采用专用硬件平台，插板式结构设计。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2、支持不少于16块业务板卡，板卡支持HDMI接口，本次配置10块板卡。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3、支持ITU-T H.264、H.265等视频编解码协议；支持G.711a、G.711u、G.722等音频编解码协议。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4、支持4K30、1080P60等高清视频效果。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5、设备提供IP接口可以实现和MCU的远距离部署，不受距离限制。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4.5</w:t>
            </w:r>
          </w:p>
        </w:tc>
        <w:tc>
          <w:tcPr>
            <w:tcW w:w="766" w:type="dxa"/>
            <w:vMerge w:val="restart"/>
            <w:vAlign w:val="center"/>
          </w:tcPr>
          <w:p>
            <w:r>
              <w:rPr>
                <w:rFonts w:hint="eastAsia"/>
              </w:rPr>
              <w:t>高清会议终端</w:t>
            </w:r>
          </w:p>
        </w:tc>
        <w:tc>
          <w:tcPr>
            <w:tcW w:w="4577" w:type="dxa"/>
            <w:vAlign w:val="center"/>
          </w:tcPr>
          <w:p>
            <w:r>
              <w:rPr>
                <w:rFonts w:hint="eastAsia"/>
              </w:rPr>
              <w:t>1、采用硬件分体式结构，嵌入式操作系统，非PC架构，具有液晶显示屏，可以显示终端IP地址、升级状态等功能。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2、支持ITU-I H.323，IETF SIP通信标准协议。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3、支持ITU-T H.264、H.264HP、H.265等视频编解码协议。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4、支持G.711a、G.711u、G.722、G.729A、AAC-LD等音频编解码协议。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5、支持主视频达到4K30时，辅视频同时达到4K30超高清效果。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ascii="宋体" w:hAnsi="宋体" w:cs="宋体"/>
                <w:b/>
                <w:bCs/>
                <w:color w:val="FF0000"/>
                <w:kern w:val="0"/>
                <w:szCs w:val="21"/>
                <w:lang w:bidi="ar"/>
              </w:rPr>
              <w:t>6、为了节约带宽资源，支持最低占用1Mbps带宽实现4K30会议效果；（提供第三方检测机构出具的检测报告扫描件，原件备查）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7、支持抗丢包修复能力，丢包达40%时，视频图像清晰流畅，无卡顿、马赛克等现象，会议仍能够正常召开；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8、支持不少于4路高清视频输入接口，输入接口支持HDMI、VGA等接口，其中HDMI接口不少于2个，不能通过外接设备满足；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9、支持不少于6路音频输入，支持不少于6路音频输出，支持左右双声道立体声输出。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10、支持辅流伴音功能，可通过HDMI接口发送辅视频到远端会场。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000000"/>
              </w:rPr>
            </w:pPr>
            <w:r>
              <w:rPr>
                <w:rFonts w:hint="eastAsia"/>
                <w:color w:val="000000"/>
              </w:rPr>
              <w:t>11、支持合视传输功能，支持将两路视频源合并为一路视频发送到远端会场；</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4.6</w:t>
            </w:r>
          </w:p>
        </w:tc>
        <w:tc>
          <w:tcPr>
            <w:tcW w:w="766" w:type="dxa"/>
            <w:vMerge w:val="restart"/>
            <w:vAlign w:val="center"/>
          </w:tcPr>
          <w:p>
            <w:r>
              <w:rPr>
                <w:rFonts w:hint="eastAsia"/>
              </w:rPr>
              <w:t>高清一体摄像机</w:t>
            </w:r>
          </w:p>
        </w:tc>
        <w:tc>
          <w:tcPr>
            <w:tcW w:w="4577" w:type="dxa"/>
            <w:vAlign w:val="center"/>
          </w:tcPr>
          <w:p>
            <w:r>
              <w:rPr>
                <w:rFonts w:hint="eastAsia"/>
              </w:rPr>
              <w:t>1、采用不小于1/2.5" HD CMOS镜头，不低于850万有效像素，与会议终端同品牌。</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2、支持不小于12倍光学变焦，支持不小于16倍数字变焦。</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3、支持HDMI和HDBaseT接口。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4、云台转角：水平不小于±150°。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5、水平视角不小于70°。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4.7</w:t>
            </w:r>
          </w:p>
        </w:tc>
        <w:tc>
          <w:tcPr>
            <w:tcW w:w="766" w:type="dxa"/>
            <w:vMerge w:val="restart"/>
            <w:vAlign w:val="center"/>
          </w:tcPr>
          <w:p>
            <w:r>
              <w:rPr>
                <w:rFonts w:hint="eastAsia"/>
              </w:rPr>
              <w:t>阵列麦克风</w:t>
            </w:r>
          </w:p>
        </w:tc>
        <w:tc>
          <w:tcPr>
            <w:tcW w:w="4577" w:type="dxa"/>
            <w:vAlign w:val="center"/>
          </w:tcPr>
          <w:p>
            <w:r>
              <w:rPr>
                <w:rFonts w:hint="eastAsia"/>
              </w:rPr>
              <w:t>1、支持360度全向拾音范围，拾音半径至少6米。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2、支持手拉手串联。</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3、支持POE供电。</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4.8</w:t>
            </w:r>
          </w:p>
        </w:tc>
        <w:tc>
          <w:tcPr>
            <w:tcW w:w="766" w:type="dxa"/>
            <w:vAlign w:val="center"/>
          </w:tcPr>
          <w:p>
            <w:r>
              <w:rPr>
                <w:rFonts w:hint="eastAsia"/>
              </w:rPr>
              <w:t>线材及其他</w:t>
            </w:r>
          </w:p>
        </w:tc>
        <w:tc>
          <w:tcPr>
            <w:tcW w:w="4577" w:type="dxa"/>
            <w:noWrap/>
            <w:vAlign w:val="center"/>
          </w:tcPr>
          <w:p>
            <w:r>
              <w:rPr>
                <w:rFonts w:hint="eastAsia"/>
              </w:rPr>
              <w:t>安装配套网络线材及辅材</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5343" w:type="dxa"/>
            <w:gridSpan w:val="2"/>
            <w:vAlign w:val="center"/>
          </w:tcPr>
          <w:p>
            <w:r>
              <w:rPr>
                <w:rFonts w:hint="eastAsia"/>
              </w:rPr>
              <w:t>数字会议发言系统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5.1</w:t>
            </w:r>
          </w:p>
        </w:tc>
        <w:tc>
          <w:tcPr>
            <w:tcW w:w="766" w:type="dxa"/>
            <w:vMerge w:val="restart"/>
            <w:vAlign w:val="center"/>
          </w:tcPr>
          <w:p>
            <w:r>
              <w:rPr>
                <w:rFonts w:hint="eastAsia"/>
              </w:rPr>
              <w:t>会议系统主机</w:t>
            </w:r>
          </w:p>
        </w:tc>
        <w:tc>
          <w:tcPr>
            <w:tcW w:w="4577" w:type="dxa"/>
            <w:vAlign w:val="center"/>
          </w:tcPr>
          <w:p>
            <w:r>
              <w:rPr>
                <w:rFonts w:hint="eastAsia"/>
              </w:rPr>
              <w:t>1.符合IEC60914国际标准；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2.主机内置DSP音频处理模块，可有限度的防止啸叫；</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3.不少于三路8芯会议单元输出接口,单台可挂载不少于90个会议单元,且线路长度可高达100米；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ascii="宋体" w:hAnsi="宋体" w:cs="宋体"/>
                <w:b/>
                <w:bCs/>
                <w:color w:val="FF0000"/>
                <w:kern w:val="0"/>
                <w:szCs w:val="21"/>
                <w:lang w:bidi="ar"/>
              </w:rPr>
              <w:t>4.▲自带不小于3寸LCD液晶显示器，可实时显示话筒状态；（提供第三方检测机构出具的检测报告扫描件，原件备查）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5.支持自由讨论模式,先入先出模式；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6.内置三进一出视频矩阵，可直接连接1-3个摄像机，实现视频自动跟踪；</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7.系统支持多支主席单元同时在线；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8.会议话筒具备高中低音调节功能；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9.系统具备线路带电“热插拔”功能，让系统的安全性及稳定性得到有力的保障；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10.信噪比:≥70dB；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11.动态范围:&gt;90dB；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12.功率:&lt;100W。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5.2</w:t>
            </w:r>
          </w:p>
        </w:tc>
        <w:tc>
          <w:tcPr>
            <w:tcW w:w="766" w:type="dxa"/>
            <w:vMerge w:val="restart"/>
            <w:vAlign w:val="center"/>
          </w:tcPr>
          <w:p>
            <w:r>
              <w:rPr>
                <w:rFonts w:hint="eastAsia"/>
              </w:rPr>
              <w:t>会议主席单元</w:t>
            </w:r>
          </w:p>
        </w:tc>
        <w:tc>
          <w:tcPr>
            <w:tcW w:w="4577" w:type="dxa"/>
            <w:vAlign w:val="center"/>
          </w:tcPr>
          <w:p>
            <w:r>
              <w:rPr>
                <w:rFonts w:hint="eastAsia"/>
              </w:rPr>
              <w:t>1.超指向型短杆设计，咪杆长度≤210mm；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2.拾音距离≥50CM；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3.内置DSP音频处理模块，具有啸叫抑制功能，防止声音回输；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4.超强的抗手机RF干扰性；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5.具有自我检测功能，可自动完成设备自检；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6.主席单元优先键按下,代表单元自动关闭；</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7.灵敏度：≤ -34dB±3dB；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8.频率响应不低于：20Hz–20000Hz；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9.最大声压级：≥135dB SPL@1kHz；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10.非线性失真(THD)：&lt;0.3%。</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5.3</w:t>
            </w:r>
          </w:p>
        </w:tc>
        <w:tc>
          <w:tcPr>
            <w:tcW w:w="766" w:type="dxa"/>
            <w:vMerge w:val="restart"/>
            <w:vAlign w:val="center"/>
          </w:tcPr>
          <w:p>
            <w:r>
              <w:rPr>
                <w:rFonts w:hint="eastAsia"/>
              </w:rPr>
              <w:t>会议代表单元</w:t>
            </w:r>
          </w:p>
        </w:tc>
        <w:tc>
          <w:tcPr>
            <w:tcW w:w="4577" w:type="dxa"/>
            <w:noWrap/>
            <w:vAlign w:val="center"/>
          </w:tcPr>
          <w:p>
            <w:r>
              <w:rPr>
                <w:rFonts w:hint="eastAsia"/>
              </w:rPr>
              <w:t>1.超指向型短杆设计，咪杆长度≤210mm；</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2.拾音距离≥50CM；</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3.内置DSP音频处理模块，具有啸叫抑制功能，防止声音回输；</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4.超强的抗手机RF干扰性；</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5.具有自我检测功能，可自动完成设备自检；</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6.灵敏度：≤ -34dB±3dB；</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7.频率响应不低于：20Hz–20000Hz；</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8.最大声压级：≥135dB SPL@1kHz；</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r>
              <w:rPr>
                <w:rFonts w:hint="eastAsia"/>
              </w:rPr>
              <w:t>9.非线性失真(THD)：&lt;0.3%。</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556" w:type="dxa"/>
            <w:vMerge w:val="restart"/>
            <w:noWrap/>
            <w:vAlign w:val="center"/>
          </w:tcPr>
          <w:p>
            <w:r>
              <w:rPr>
                <w:rFonts w:hint="eastAsia"/>
              </w:rPr>
              <w:t>5.4</w:t>
            </w:r>
          </w:p>
        </w:tc>
        <w:tc>
          <w:tcPr>
            <w:tcW w:w="766" w:type="dxa"/>
            <w:vMerge w:val="restart"/>
            <w:vAlign w:val="center"/>
          </w:tcPr>
          <w:p>
            <w:r>
              <w:rPr>
                <w:rFonts w:hint="eastAsia"/>
              </w:rPr>
              <w:t>无线接入点和收发器</w:t>
            </w:r>
          </w:p>
        </w:tc>
        <w:tc>
          <w:tcPr>
            <w:tcW w:w="4577" w:type="dxa"/>
            <w:vAlign w:val="center"/>
          </w:tcPr>
          <w:p>
            <w:r>
              <w:rPr>
                <w:rFonts w:hint="eastAsia"/>
                <w:color w:val="000000"/>
              </w:rPr>
              <w:t>1.支持</w:t>
            </w:r>
            <w:r>
              <w:rPr>
                <w:color w:val="000000"/>
              </w:rPr>
              <w:t>802.11ax</w:t>
            </w:r>
            <w:r>
              <w:rPr>
                <w:rFonts w:hint="eastAsia"/>
                <w:color w:val="000000"/>
              </w:rPr>
              <w:t>标准，整机支持</w:t>
            </w:r>
            <w:r>
              <w:rPr>
                <w:rFonts w:hint="eastAsia"/>
              </w:rPr>
              <w:t>≥</w:t>
            </w:r>
            <w:r>
              <w:rPr>
                <w:color w:val="000000"/>
              </w:rPr>
              <w:t>10</w:t>
            </w:r>
            <w:r>
              <w:rPr>
                <w:rFonts w:hint="eastAsia"/>
                <w:color w:val="000000"/>
              </w:rPr>
              <w:t>条流。</w:t>
            </w:r>
          </w:p>
        </w:tc>
        <w:tc>
          <w:tcPr>
            <w:tcW w:w="1050" w:type="dxa"/>
            <w:vAlign w:val="center"/>
          </w:tcPr>
          <w:p>
            <w:pPr>
              <w:rPr>
                <w:rFonts w:hint="eastAsia"/>
                <w:color w:val="000000"/>
              </w:rPr>
            </w:pPr>
          </w:p>
        </w:tc>
        <w:tc>
          <w:tcPr>
            <w:tcW w:w="773" w:type="dxa"/>
            <w:vAlign w:val="center"/>
          </w:tcPr>
          <w:p>
            <w:pPr>
              <w:rPr>
                <w:rFonts w:hint="eastAsia"/>
                <w:color w:val="000000"/>
              </w:rPr>
            </w:pPr>
          </w:p>
        </w:tc>
        <w:tc>
          <w:tcPr>
            <w:tcW w:w="807"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2.采用硬件独立的四射频设计，一个2.4GHz射频卡，三个5GHz射频卡。</w:t>
            </w:r>
          </w:p>
          <w:p>
            <w:r>
              <w:rPr>
                <w:rFonts w:hint="eastAsia"/>
              </w:rPr>
              <w:t>3.整机最大接入速率≥8.5Gbps。</w:t>
            </w:r>
          </w:p>
          <w:p>
            <w:r>
              <w:rPr>
                <w:rFonts w:hint="eastAsia"/>
              </w:rPr>
              <w:t>4.至少1个10/100/1000M以太网接口支持对外供电，可扩展物联网模块。</w:t>
            </w:r>
          </w:p>
          <w:p>
            <w:r>
              <w:t>5</w:t>
            </w:r>
            <w:r>
              <w:rPr>
                <w:rFonts w:hint="eastAsia"/>
              </w:rPr>
              <w:t>.支持1个5G电口和1个5G光口；</w:t>
            </w:r>
          </w:p>
          <w:p>
            <w:r>
              <w:rPr>
                <w:rFonts w:hint="eastAsia"/>
              </w:rPr>
              <w:t>6.整机最大功耗≤40W。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5.5</w:t>
            </w:r>
          </w:p>
        </w:tc>
        <w:tc>
          <w:tcPr>
            <w:tcW w:w="766" w:type="dxa"/>
            <w:vAlign w:val="center"/>
          </w:tcPr>
          <w:p>
            <w:r>
              <w:rPr>
                <w:rFonts w:hint="eastAsia"/>
              </w:rPr>
              <w:t>耗材及其他</w:t>
            </w:r>
          </w:p>
        </w:tc>
        <w:tc>
          <w:tcPr>
            <w:tcW w:w="4577" w:type="dxa"/>
            <w:noWrap/>
            <w:vAlign w:val="center"/>
          </w:tcPr>
          <w:p>
            <w:r>
              <w:rPr>
                <w:rFonts w:hint="eastAsia"/>
              </w:rPr>
              <w:t>音频线材及辅材</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6</w:t>
            </w:r>
          </w:p>
        </w:tc>
        <w:tc>
          <w:tcPr>
            <w:tcW w:w="5343" w:type="dxa"/>
            <w:gridSpan w:val="2"/>
            <w:vAlign w:val="center"/>
          </w:tcPr>
          <w:p>
            <w:r>
              <w:rPr>
                <w:rFonts w:hint="eastAsia"/>
              </w:rPr>
              <w:t>专业坐席桌椅</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noWrap/>
            <w:vAlign w:val="center"/>
          </w:tcPr>
          <w:p>
            <w:r>
              <w:rPr>
                <w:rFonts w:hint="eastAsia"/>
              </w:rPr>
              <w:t>6.1</w:t>
            </w:r>
          </w:p>
        </w:tc>
        <w:tc>
          <w:tcPr>
            <w:tcW w:w="766" w:type="dxa"/>
            <w:vAlign w:val="center"/>
          </w:tcPr>
          <w:p>
            <w:r>
              <w:rPr>
                <w:rFonts w:hint="eastAsia"/>
              </w:rPr>
              <w:t>坐席控制台</w:t>
            </w:r>
          </w:p>
        </w:tc>
        <w:tc>
          <w:tcPr>
            <w:tcW w:w="4577" w:type="dxa"/>
            <w:noWrap/>
            <w:vAlign w:val="center"/>
          </w:tcPr>
          <w:p>
            <w:r>
              <w:rPr>
                <w:rFonts w:hint="eastAsia"/>
              </w:rPr>
              <w:t>根据现场情况定制，满足22人或以上操作业务需求</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6" w:type="dxa"/>
            <w:noWrap/>
            <w:vAlign w:val="center"/>
          </w:tcPr>
          <w:p>
            <w:r>
              <w:rPr>
                <w:rFonts w:hint="eastAsia"/>
              </w:rPr>
              <w:t>6.2</w:t>
            </w:r>
          </w:p>
        </w:tc>
        <w:tc>
          <w:tcPr>
            <w:tcW w:w="766" w:type="dxa"/>
            <w:vAlign w:val="center"/>
          </w:tcPr>
          <w:p>
            <w:r>
              <w:rPr>
                <w:rFonts w:hint="eastAsia"/>
              </w:rPr>
              <w:t>人体工学操作椅</w:t>
            </w:r>
          </w:p>
        </w:tc>
        <w:tc>
          <w:tcPr>
            <w:tcW w:w="4577" w:type="dxa"/>
            <w:noWrap/>
            <w:vAlign w:val="center"/>
          </w:tcPr>
          <w:p>
            <w:r>
              <w:rPr>
                <w:rFonts w:hint="eastAsia"/>
              </w:rPr>
              <w:t>定制，采用网面，透气大方美观，满足7*24小时高强度工作运作的专业指挥中心座椅、符合人体工学，可以有效保护腰椎、颈椎免受长时间工作的损害</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6.3</w:t>
            </w:r>
          </w:p>
        </w:tc>
        <w:tc>
          <w:tcPr>
            <w:tcW w:w="766" w:type="dxa"/>
            <w:vAlign w:val="center"/>
          </w:tcPr>
          <w:p>
            <w:r>
              <w:rPr>
                <w:rFonts w:hint="eastAsia"/>
              </w:rPr>
              <w:t>单层显示器支臂</w:t>
            </w:r>
          </w:p>
        </w:tc>
        <w:tc>
          <w:tcPr>
            <w:tcW w:w="4577" w:type="dxa"/>
            <w:noWrap/>
            <w:vAlign w:val="center"/>
          </w:tcPr>
          <w:p>
            <w:r>
              <w:rPr>
                <w:rFonts w:hint="eastAsia"/>
              </w:rPr>
              <w:t>定制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6.4</w:t>
            </w:r>
          </w:p>
        </w:tc>
        <w:tc>
          <w:tcPr>
            <w:tcW w:w="766" w:type="dxa"/>
            <w:vAlign w:val="center"/>
          </w:tcPr>
          <w:p>
            <w:r>
              <w:rPr>
                <w:rFonts w:hint="eastAsia"/>
              </w:rPr>
              <w:t>单层键盘托盘</w:t>
            </w:r>
          </w:p>
        </w:tc>
        <w:tc>
          <w:tcPr>
            <w:tcW w:w="4577" w:type="dxa"/>
            <w:noWrap/>
            <w:vAlign w:val="center"/>
          </w:tcPr>
          <w:p>
            <w:r>
              <w:rPr>
                <w:rFonts w:hint="eastAsia"/>
              </w:rPr>
              <w:t>定制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二</w:t>
            </w:r>
          </w:p>
        </w:tc>
        <w:tc>
          <w:tcPr>
            <w:tcW w:w="5343" w:type="dxa"/>
            <w:gridSpan w:val="2"/>
            <w:vAlign w:val="center"/>
          </w:tcPr>
          <w:p>
            <w:r>
              <w:rPr>
                <w:rFonts w:hint="eastAsia"/>
              </w:rPr>
              <w:t>决策室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vAlign w:val="center"/>
          </w:tcPr>
          <w:p>
            <w:r>
              <w:rPr>
                <w:rFonts w:hint="eastAsia"/>
              </w:rPr>
              <w:t>LED显示大屏系统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56" w:type="dxa"/>
            <w:vMerge w:val="restart"/>
            <w:noWrap/>
            <w:vAlign w:val="center"/>
          </w:tcPr>
          <w:p>
            <w:r>
              <w:rPr>
                <w:rFonts w:hint="eastAsia"/>
              </w:rPr>
              <w:t>1.1</w:t>
            </w:r>
          </w:p>
        </w:tc>
        <w:tc>
          <w:tcPr>
            <w:tcW w:w="766" w:type="dxa"/>
            <w:vMerge w:val="restart"/>
            <w:vAlign w:val="center"/>
          </w:tcPr>
          <w:p>
            <w:r>
              <w:rPr>
                <w:rFonts w:hint="eastAsia"/>
              </w:rPr>
              <w:t>小间距LED显示屏</w:t>
            </w:r>
          </w:p>
        </w:tc>
        <w:tc>
          <w:tcPr>
            <w:tcW w:w="4577" w:type="dxa"/>
            <w:vAlign w:val="center"/>
          </w:tcPr>
          <w:p>
            <w:r>
              <w:rPr>
                <w:rFonts w:hint="eastAsia"/>
              </w:rPr>
              <w:t>★1、面积不少于12.96平方米，像素间距≤1.25mm；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▲2、采用COB倒装封装，采用RGB芯片全倒装技术，晶片直接焊在PCB上，无焊线，散热好，支持巨量转移技术；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3、整屏分辨率≥3840点×2160点；像素密度≥640000点/㎡；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4、对比度：10000:1；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5、一体化压铸铝箱体设计，箱体背板为一次性整体压铸成型，背板和后盖均为压铸铝或铝镁合金材质，全金属自然散热结构，静音无风扇；LED箱体支持X/Y/Z六向调节；外壳防尘等级达到IP5X；</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6、刷新率：≥3840Hz；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pPr>
              <w:rPr>
                <w:rFonts w:hint="eastAsia" w:ascii="宋体" w:hAnsi="宋体" w:cs="宋体"/>
                <w:b/>
                <w:bCs/>
                <w:color w:val="FF0000"/>
                <w:kern w:val="0"/>
                <w:szCs w:val="21"/>
                <w:lang w:bidi="ar"/>
              </w:rPr>
            </w:pPr>
            <w:r>
              <w:rPr>
                <w:rFonts w:hint="eastAsia" w:ascii="宋体" w:hAnsi="宋体" w:cs="宋体"/>
                <w:b/>
                <w:bCs/>
                <w:color w:val="FF0000"/>
                <w:kern w:val="0"/>
                <w:szCs w:val="21"/>
                <w:lang w:bidi="ar"/>
              </w:rPr>
              <w:t>▲7、采用EBL+技术(enhance black level）,超黑底色，哑面处理，提高屏体的黑色水平，增强屏体的对比度，同时提升观看的舒适度、降低触摸痕迹；（提供第三方检测机构出具的检测报告扫描件，原件备查）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pPr>
              <w:rPr>
                <w:rFonts w:hint="eastAsia" w:ascii="宋体" w:hAnsi="宋体" w:cs="宋体"/>
                <w:b/>
                <w:bCs/>
                <w:color w:val="FF0000"/>
                <w:kern w:val="0"/>
                <w:szCs w:val="21"/>
                <w:lang w:bidi="ar"/>
              </w:rPr>
            </w:pPr>
            <w:r>
              <w:rPr>
                <w:rFonts w:hint="eastAsia" w:ascii="宋体" w:hAnsi="宋体" w:cs="宋体"/>
                <w:b/>
                <w:bCs/>
                <w:color w:val="FF0000"/>
                <w:kern w:val="0"/>
                <w:szCs w:val="21"/>
                <w:lang w:bidi="ar"/>
              </w:rPr>
              <w:t>▲8、光生物安全及低蓝光要求：按 GB/T 20145-2006灯和灯系统的光生物安全性辐亮度无危险标准：辐亮度≤1W/（㎡×sr)符合RG0等级，属于无危害类；对视网膜蓝光危害LB≤1W.m-2.sr-1,属于蓝光无危害（提供第三方检测机构出具的检测报告扫描件，原件备查）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pPr>
              <w:rPr>
                <w:rFonts w:hint="eastAsia" w:ascii="宋体" w:hAnsi="宋体" w:cs="宋体"/>
                <w:b/>
                <w:bCs/>
                <w:color w:val="FF0000"/>
                <w:kern w:val="0"/>
                <w:szCs w:val="21"/>
                <w:lang w:bidi="ar"/>
              </w:rPr>
            </w:pPr>
            <w:r>
              <w:rPr>
                <w:rFonts w:hint="eastAsia" w:ascii="宋体" w:hAnsi="宋体" w:cs="宋体"/>
                <w:b/>
                <w:bCs/>
                <w:color w:val="FF0000"/>
                <w:kern w:val="0"/>
                <w:szCs w:val="21"/>
                <w:lang w:bidi="ar"/>
              </w:rPr>
              <w:t>9、显示效果：发光面光泽度≤10GU，反光率≤5%，墨色一致性△E＜0.5，色准△E＜0.9，面光源设计有效抑制 90%摩尔纹（提供第三方检测机构出具的检测报告扫描件，原件备查）</w:t>
            </w:r>
          </w:p>
        </w:tc>
        <w:tc>
          <w:tcPr>
            <w:tcW w:w="1050" w:type="dxa"/>
            <w:vAlign w:val="center"/>
          </w:tcPr>
          <w:p>
            <w:pPr>
              <w:rPr>
                <w:rFonts w:hint="eastAsia" w:ascii="宋体" w:hAnsi="宋体" w:cs="宋体"/>
                <w:b/>
                <w:bCs/>
                <w:color w:val="FF0000"/>
                <w:kern w:val="0"/>
                <w:szCs w:val="21"/>
                <w:lang w:bidi="ar"/>
              </w:rPr>
            </w:pPr>
          </w:p>
        </w:tc>
        <w:tc>
          <w:tcPr>
            <w:tcW w:w="773" w:type="dxa"/>
            <w:vAlign w:val="center"/>
          </w:tcPr>
          <w:p>
            <w:pPr>
              <w:rPr>
                <w:rFonts w:hint="eastAsia" w:ascii="宋体" w:hAnsi="宋体" w:cs="宋体"/>
                <w:b/>
                <w:bCs/>
                <w:color w:val="FF0000"/>
                <w:kern w:val="0"/>
                <w:szCs w:val="21"/>
                <w:lang w:bidi="ar"/>
              </w:rPr>
            </w:pPr>
          </w:p>
        </w:tc>
        <w:tc>
          <w:tcPr>
            <w:tcW w:w="807" w:type="dxa"/>
            <w:vAlign w:val="center"/>
          </w:tcPr>
          <w:p>
            <w:pPr>
              <w:rPr>
                <w:rFonts w:hint="eastAsia" w:ascii="宋体" w:hAnsi="宋体" w:cs="宋体"/>
                <w:b/>
                <w:bCs/>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pPr>
              <w:rPr>
                <w:rFonts w:hint="eastAsia" w:eastAsia="宋体"/>
                <w:b/>
                <w:bCs/>
                <w:color w:val="FF0000"/>
                <w:lang w:eastAsia="zh-CN"/>
              </w:rPr>
            </w:pPr>
            <w:r>
              <w:rPr>
                <w:rFonts w:hint="eastAsia"/>
                <w:b/>
                <w:bCs/>
                <w:color w:val="FF0000"/>
              </w:rPr>
              <w:t>▲10、产品符合CESI产品认证实施规则，符合CESI-PC-OD66中8K超清显示要求；并提供证书扫描件，原件备查</w:t>
            </w:r>
            <w:r>
              <w:rPr>
                <w:rFonts w:hint="eastAsia"/>
                <w:b/>
                <w:bCs/>
                <w:color w:val="FF0000"/>
                <w:lang w:eastAsia="zh-CN"/>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6" w:type="dxa"/>
            <w:vMerge w:val="continue"/>
            <w:noWrap/>
            <w:vAlign w:val="center"/>
          </w:tcPr>
          <w:p/>
        </w:tc>
        <w:tc>
          <w:tcPr>
            <w:tcW w:w="766" w:type="dxa"/>
            <w:vMerge w:val="continue"/>
            <w:vAlign w:val="center"/>
          </w:tcPr>
          <w:p/>
        </w:tc>
        <w:tc>
          <w:tcPr>
            <w:tcW w:w="4577" w:type="dxa"/>
            <w:vAlign w:val="center"/>
          </w:tcPr>
          <w:p>
            <w:pPr>
              <w:rPr>
                <w:rFonts w:hint="eastAsia"/>
                <w:b/>
                <w:bCs/>
                <w:color w:val="FF0000"/>
              </w:rPr>
            </w:pPr>
            <w:r>
              <w:rPr>
                <w:rFonts w:hint="eastAsia"/>
                <w:b/>
                <w:bCs/>
                <w:color w:val="FF0000"/>
              </w:rPr>
              <w:t>▲11、为保障色彩呈现，所投屏体依据CESI/TS 011-2018认证标准和技术要求，符合色彩品质A级评定，并提供证书</w:t>
            </w:r>
            <w:r>
              <w:rPr>
                <w:rFonts w:hint="eastAsia" w:ascii="宋体" w:hAnsi="宋体" w:cs="宋体"/>
                <w:b/>
                <w:bCs/>
                <w:color w:val="FF0000"/>
                <w:kern w:val="0"/>
                <w:szCs w:val="21"/>
                <w:lang w:bidi="ar"/>
              </w:rPr>
              <w:t>扫描件，原件备查</w:t>
            </w:r>
            <w:r>
              <w:rPr>
                <w:rFonts w:hint="eastAsia"/>
                <w:b/>
                <w:bCs/>
                <w:color w:val="FF0000"/>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556" w:type="dxa"/>
            <w:vMerge w:val="continue"/>
            <w:noWrap/>
            <w:vAlign w:val="center"/>
          </w:tcPr>
          <w:p/>
        </w:tc>
        <w:tc>
          <w:tcPr>
            <w:tcW w:w="766" w:type="dxa"/>
            <w:vMerge w:val="continue"/>
            <w:vAlign w:val="center"/>
          </w:tcPr>
          <w:p/>
        </w:tc>
        <w:tc>
          <w:tcPr>
            <w:tcW w:w="4577" w:type="dxa"/>
            <w:vAlign w:val="center"/>
          </w:tcPr>
          <w:p>
            <w:r>
              <w:rPr>
                <w:rFonts w:hint="eastAsia"/>
              </w:rPr>
              <w:t>▲12、</w:t>
            </w:r>
            <w:r>
              <w:rPr>
                <w:rFonts w:hint="eastAsia"/>
                <w:b/>
                <w:bCs/>
                <w:color w:val="FF0000"/>
                <w:lang w:bidi="ar"/>
              </w:rPr>
              <w:t>提供原厂售后服务承诺函</w:t>
            </w:r>
            <w:r>
              <w:rPr>
                <w:rFonts w:hint="eastAsia"/>
                <w:b/>
                <w:bCs/>
                <w:color w:val="FF0000"/>
                <w:lang w:val="en-US" w:eastAsia="zh-CN" w:bidi="ar"/>
              </w:rPr>
              <w:t>扫描件</w:t>
            </w:r>
            <w:r>
              <w:rPr>
                <w:rFonts w:hint="eastAsia"/>
                <w:b/>
                <w:bCs/>
                <w:color w:val="FF0000"/>
                <w:lang w:eastAsia="zh-CN" w:bidi="ar"/>
              </w:rPr>
              <w:t>（</w:t>
            </w:r>
            <w:r>
              <w:rPr>
                <w:rFonts w:hint="eastAsia"/>
                <w:b/>
                <w:bCs/>
                <w:color w:val="FF0000"/>
                <w:lang w:bidi="ar"/>
              </w:rPr>
              <w:t>免费保修期</w:t>
            </w:r>
            <w:r>
              <w:rPr>
                <w:rFonts w:hint="eastAsia"/>
                <w:b/>
                <w:bCs/>
                <w:color w:val="FF0000"/>
                <w:lang w:val="en-US" w:eastAsia="zh-CN" w:bidi="ar"/>
              </w:rPr>
              <w:t>满足商务条款要求</w:t>
            </w:r>
            <w:r>
              <w:rPr>
                <w:rFonts w:hint="eastAsia"/>
                <w:b/>
                <w:bCs/>
                <w:color w:val="FF0000"/>
                <w:lang w:eastAsia="zh-CN" w:bidi="ar"/>
              </w:rPr>
              <w:t>）</w:t>
            </w:r>
            <w:r>
              <w:rPr>
                <w:rFonts w:hint="eastAsia"/>
                <w:b/>
                <w:bCs/>
                <w:color w:val="FF0000"/>
                <w:lang w:bidi="ar"/>
              </w:rPr>
              <w:t>，原件备查。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766" w:type="dxa"/>
            <w:vAlign w:val="center"/>
          </w:tcPr>
          <w:p>
            <w:r>
              <w:rPr>
                <w:rFonts w:hint="eastAsia"/>
              </w:rPr>
              <w:t>4K发送盒</w:t>
            </w:r>
          </w:p>
        </w:tc>
        <w:tc>
          <w:tcPr>
            <w:tcW w:w="4577" w:type="dxa"/>
            <w:vAlign w:val="center"/>
          </w:tcPr>
          <w:p>
            <w:r>
              <w:rPr>
                <w:rFonts w:hint="eastAsia"/>
              </w:rPr>
              <w:t>设备参数同上“4K发送盒”</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1.3</w:t>
            </w:r>
          </w:p>
        </w:tc>
        <w:tc>
          <w:tcPr>
            <w:tcW w:w="766" w:type="dxa"/>
            <w:vMerge w:val="restart"/>
            <w:vAlign w:val="center"/>
          </w:tcPr>
          <w:p>
            <w:r>
              <w:rPr>
                <w:rFonts w:hint="eastAsia"/>
              </w:rPr>
              <w:t>接收卡</w:t>
            </w:r>
          </w:p>
        </w:tc>
        <w:tc>
          <w:tcPr>
            <w:tcW w:w="4577" w:type="dxa"/>
            <w:vAlign w:val="center"/>
          </w:tcPr>
          <w:p>
            <w:r>
              <w:rPr>
                <w:rFonts w:hint="eastAsia"/>
              </w:rPr>
              <w:t>1、接收卡支持3D功能；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2、支持接收卡预存画面设置，可将指定图片设置为显示屏的开机画面、网线断开或无视频源信号时的画面，确保显示屏无黑屏，画面无缝衔接。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1.4</w:t>
            </w:r>
          </w:p>
        </w:tc>
        <w:tc>
          <w:tcPr>
            <w:tcW w:w="766" w:type="dxa"/>
            <w:vAlign w:val="center"/>
          </w:tcPr>
          <w:p>
            <w:r>
              <w:rPr>
                <w:rFonts w:hint="eastAsia"/>
              </w:rPr>
              <w:t>LED显示屏控制系统</w:t>
            </w:r>
          </w:p>
        </w:tc>
        <w:tc>
          <w:tcPr>
            <w:tcW w:w="4577" w:type="dxa"/>
            <w:vAlign w:val="center"/>
          </w:tcPr>
          <w:p>
            <w:r>
              <w:rPr>
                <w:rFonts w:hint="eastAsia"/>
              </w:rPr>
              <w:t>设备参数同上“LED显示屏控制系统”</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56" w:type="dxa"/>
            <w:vMerge w:val="restart"/>
            <w:noWrap/>
            <w:vAlign w:val="center"/>
          </w:tcPr>
          <w:p>
            <w:r>
              <w:rPr>
                <w:rFonts w:hint="eastAsia"/>
              </w:rPr>
              <w:t>1.5</w:t>
            </w:r>
          </w:p>
        </w:tc>
        <w:tc>
          <w:tcPr>
            <w:tcW w:w="766" w:type="dxa"/>
            <w:vMerge w:val="restart"/>
            <w:vAlign w:val="center"/>
          </w:tcPr>
          <w:p>
            <w:r>
              <w:rPr>
                <w:rFonts w:hint="eastAsia"/>
              </w:rPr>
              <w:t>万兆交换机</w:t>
            </w:r>
          </w:p>
        </w:tc>
        <w:tc>
          <w:tcPr>
            <w:tcW w:w="4577" w:type="dxa"/>
            <w:vAlign w:val="center"/>
          </w:tcPr>
          <w:p>
            <w:pPr>
              <w:rPr>
                <w:rFonts w:ascii="宋体" w:hAnsi="宋体" w:cs="宋体"/>
                <w:kern w:val="0"/>
                <w:szCs w:val="21"/>
              </w:rPr>
            </w:pPr>
            <w:r>
              <w:rPr>
                <w:rFonts w:hint="eastAsia"/>
              </w:rPr>
              <w:t>1、交换容量≥1.28Tbps，包转发率≥276Mpps</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pPr>
              <w:rPr>
                <w:rFonts w:ascii="宋体" w:hAnsi="宋体" w:cs="宋体"/>
                <w:color w:val="000000"/>
                <w:kern w:val="0"/>
                <w:szCs w:val="21"/>
              </w:rPr>
            </w:pPr>
            <w:r>
              <w:rPr>
                <w:rFonts w:hint="eastAsia"/>
              </w:rPr>
              <w:t>2、持48个千兆电口，4个万兆光口，扩展卡槽位数≥1；</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pPr>
              <w:rPr>
                <w:rFonts w:ascii="宋体" w:hAnsi="宋体" w:cs="宋体"/>
                <w:color w:val="000000"/>
                <w:kern w:val="0"/>
                <w:szCs w:val="21"/>
              </w:rPr>
            </w:pPr>
            <w:r>
              <w:rPr>
                <w:rFonts w:hint="eastAsia"/>
              </w:rPr>
              <w:t>3、支持模块化电源，配置电源≥2，支持380V高压直流</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pPr>
              <w:rPr>
                <w:rFonts w:ascii="宋体" w:hAnsi="宋体" w:cs="宋体"/>
                <w:color w:val="000000"/>
                <w:kern w:val="0"/>
                <w:szCs w:val="21"/>
              </w:rPr>
            </w:pPr>
            <w:r>
              <w:rPr>
                <w:rFonts w:hint="eastAsia"/>
              </w:rPr>
              <w:t>4、可以通过读取端口指示灯状态获取各种设备重要信息，包括端口/内存/CPU使用状态等，缩短故障时的排错时间，</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vAlign w:val="center"/>
          </w:tcPr>
          <w:p/>
        </w:tc>
        <w:tc>
          <w:tcPr>
            <w:tcW w:w="4577" w:type="dxa"/>
            <w:noWrap/>
            <w:vAlign w:val="center"/>
          </w:tcPr>
          <w:p>
            <w:pPr>
              <w:rPr>
                <w:rFonts w:ascii="宋体" w:hAnsi="宋体" w:cs="宋体"/>
                <w:color w:val="000000"/>
                <w:kern w:val="0"/>
                <w:szCs w:val="21"/>
              </w:rPr>
            </w:pPr>
            <w:r>
              <w:t>5</w:t>
            </w:r>
            <w:r>
              <w:rPr>
                <w:rFonts w:hint="eastAsia"/>
              </w:rPr>
              <w:t>、支持4K个VLAN，支持Voice VLAN，基于端口的VLAN，基于协议的VLAN</w:t>
            </w:r>
          </w:p>
        </w:tc>
        <w:tc>
          <w:tcPr>
            <w:tcW w:w="1050" w:type="dxa"/>
            <w:noWrap/>
            <w:vAlign w:val="center"/>
          </w:tcPr>
          <w:p/>
        </w:tc>
        <w:tc>
          <w:tcPr>
            <w:tcW w:w="773" w:type="dxa"/>
            <w:noWrap/>
            <w:vAlign w:val="center"/>
          </w:tcPr>
          <w:p/>
        </w:tc>
        <w:tc>
          <w:tcPr>
            <w:tcW w:w="807" w:type="dxa"/>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1.6</w:t>
            </w:r>
          </w:p>
        </w:tc>
        <w:tc>
          <w:tcPr>
            <w:tcW w:w="766" w:type="dxa"/>
            <w:vAlign w:val="center"/>
          </w:tcPr>
          <w:p>
            <w:r>
              <w:rPr>
                <w:rFonts w:hint="eastAsia"/>
              </w:rPr>
              <w:t>双路4K输入节点</w:t>
            </w:r>
          </w:p>
        </w:tc>
        <w:tc>
          <w:tcPr>
            <w:tcW w:w="4577" w:type="dxa"/>
            <w:noWrap/>
            <w:vAlign w:val="center"/>
          </w:tcPr>
          <w:p>
            <w:r>
              <w:rPr>
                <w:rFonts w:hint="eastAsia"/>
              </w:rPr>
              <w:t>设备参数同上“双路4K输入节点”</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1.7</w:t>
            </w:r>
          </w:p>
        </w:tc>
        <w:tc>
          <w:tcPr>
            <w:tcW w:w="766" w:type="dxa"/>
            <w:vAlign w:val="center"/>
          </w:tcPr>
          <w:p>
            <w:r>
              <w:rPr>
                <w:rFonts w:hint="eastAsia"/>
              </w:rPr>
              <w:t>双路4K输出节点</w:t>
            </w:r>
          </w:p>
        </w:tc>
        <w:tc>
          <w:tcPr>
            <w:tcW w:w="4577" w:type="dxa"/>
            <w:noWrap/>
            <w:vAlign w:val="center"/>
          </w:tcPr>
          <w:p>
            <w:r>
              <w:rPr>
                <w:rFonts w:hint="eastAsia"/>
              </w:rPr>
              <w:t>设备参数同上“双路4K输出节点”</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1.8</w:t>
            </w:r>
          </w:p>
        </w:tc>
        <w:tc>
          <w:tcPr>
            <w:tcW w:w="766" w:type="dxa"/>
            <w:vAlign w:val="center"/>
          </w:tcPr>
          <w:p>
            <w:r>
              <w:rPr>
                <w:rFonts w:hint="eastAsia"/>
              </w:rPr>
              <w:t>配电箱</w:t>
            </w:r>
          </w:p>
        </w:tc>
        <w:tc>
          <w:tcPr>
            <w:tcW w:w="4577" w:type="dxa"/>
            <w:vAlign w:val="center"/>
          </w:tcPr>
          <w:p>
            <w:r>
              <w:rPr>
                <w:rFonts w:hint="eastAsia"/>
              </w:rPr>
              <w:t>屏体和设备电源供应及电源管理，≥20KW户内智能配电箱，具有防静电、抗震动、防电磁干扰、抗雷击等功能，具有电源过压、过流、断电保护、分布上电措施，具有实时监控温度、故障报警功能。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1.9</w:t>
            </w:r>
          </w:p>
        </w:tc>
        <w:tc>
          <w:tcPr>
            <w:tcW w:w="766" w:type="dxa"/>
            <w:vAlign w:val="center"/>
          </w:tcPr>
          <w:p>
            <w:r>
              <w:rPr>
                <w:rFonts w:hint="eastAsia"/>
              </w:rPr>
              <w:t>结构工程</w:t>
            </w:r>
          </w:p>
        </w:tc>
        <w:tc>
          <w:tcPr>
            <w:tcW w:w="4577" w:type="dxa"/>
            <w:vAlign w:val="center"/>
          </w:tcPr>
          <w:p>
            <w:r>
              <w:rPr>
                <w:rFonts w:hint="eastAsia"/>
              </w:rPr>
              <w:t>定制铝型材安装结构，满足整面LED显示屏安装固定需要；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 xml:space="preserve">1.10 </w:t>
            </w:r>
          </w:p>
        </w:tc>
        <w:tc>
          <w:tcPr>
            <w:tcW w:w="766" w:type="dxa"/>
            <w:vAlign w:val="center"/>
          </w:tcPr>
          <w:p>
            <w:r>
              <w:rPr>
                <w:rFonts w:hint="eastAsia"/>
              </w:rPr>
              <w:t>次电缆</w:t>
            </w:r>
          </w:p>
        </w:tc>
        <w:tc>
          <w:tcPr>
            <w:tcW w:w="4577" w:type="dxa"/>
            <w:vAlign w:val="center"/>
          </w:tcPr>
          <w:p>
            <w:r>
              <w:rPr>
                <w:rFonts w:hint="eastAsia"/>
              </w:rPr>
              <w:t>国标YJV4×16+1×10mm2；</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1.11</w:t>
            </w:r>
          </w:p>
        </w:tc>
        <w:tc>
          <w:tcPr>
            <w:tcW w:w="766" w:type="dxa"/>
            <w:vAlign w:val="center"/>
          </w:tcPr>
          <w:p>
            <w:r>
              <w:rPr>
                <w:rFonts w:hint="eastAsia"/>
              </w:rPr>
              <w:t>电线电缆及其他辅材</w:t>
            </w:r>
          </w:p>
        </w:tc>
        <w:tc>
          <w:tcPr>
            <w:tcW w:w="4577" w:type="dxa"/>
            <w:vAlign w:val="center"/>
          </w:tcPr>
          <w:p>
            <w:r>
              <w:rPr>
                <w:rFonts w:hint="eastAsia"/>
              </w:rPr>
              <w:t>LED电力电缆、信号网络电缆、HDMI/DVI线材等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1.12</w:t>
            </w:r>
          </w:p>
        </w:tc>
        <w:tc>
          <w:tcPr>
            <w:tcW w:w="766" w:type="dxa"/>
            <w:vMerge w:val="restart"/>
            <w:vAlign w:val="center"/>
          </w:tcPr>
          <w:p>
            <w:r>
              <w:rPr>
                <w:rFonts w:hint="eastAsia"/>
              </w:rPr>
              <w:t>86寸智慧屏一体机</w:t>
            </w:r>
          </w:p>
        </w:tc>
        <w:tc>
          <w:tcPr>
            <w:tcW w:w="4577" w:type="dxa"/>
            <w:vAlign w:val="center"/>
          </w:tcPr>
          <w:p>
            <w:r>
              <w:rPr>
                <w:rFonts w:hint="eastAsia"/>
              </w:rPr>
              <w:t>1.屏幕尺寸≥86"液晶显示屏，面板亮度≥350cd/㎡，可视角度≥178°，自然分辨率≥3840*2160；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2.具备不少于2个HDMI接口、不少于3个USB接口、不少于1个RJ45网口；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3.扬声器：≥10W/8欧× 2</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4.红外触摸、触控点数不低于10点；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5.支持具备白板功能、左右侧拉菜单、隐藏侧拉栏功、反向控制、无线投屏、定时开关机、网络唤醒等功能；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6.采用不低于四核CPU、CPU工作主频不低于1.5GHz、不低于Android 9.0系统、RAM不低于3GB、ROM不低于32GB；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7.具备不低于酷睿I5、8G内存、128G硬盘OPS电脑；</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8.配备OPS电脑模块，不低于I5(6核）、内存8G、硬盘128G；</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9.配置无线传屏器、全向无线麦、移动支架等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1.13</w:t>
            </w:r>
          </w:p>
        </w:tc>
        <w:tc>
          <w:tcPr>
            <w:tcW w:w="766" w:type="dxa"/>
            <w:vMerge w:val="restart"/>
            <w:vAlign w:val="center"/>
          </w:tcPr>
          <w:p>
            <w:r>
              <w:rPr>
                <w:rFonts w:hint="eastAsia"/>
              </w:rPr>
              <w:t>专业图形工作站</w:t>
            </w:r>
          </w:p>
        </w:tc>
        <w:tc>
          <w:tcPr>
            <w:tcW w:w="4577" w:type="dxa"/>
            <w:vAlign w:val="center"/>
          </w:tcPr>
          <w:p>
            <w:r>
              <w:rPr>
                <w:rFonts w:hint="eastAsia"/>
              </w:rPr>
              <w:t>1、显卡:≥</w:t>
            </w:r>
            <w:r>
              <w:t>8</w:t>
            </w:r>
            <w:r>
              <w:rPr>
                <w:rFonts w:hint="eastAsia"/>
              </w:rPr>
              <w:t>G；支持</w:t>
            </w:r>
            <w:r>
              <w:t>4</w:t>
            </w:r>
            <w:r>
              <w:rPr>
                <w:rFonts w:hint="eastAsia"/>
              </w:rPr>
              <w:t>K输出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2、CPU ≥</w:t>
            </w:r>
            <w:r>
              <w:t>3.0</w:t>
            </w:r>
            <w:r>
              <w:rPr>
                <w:rFonts w:hint="eastAsia"/>
              </w:rPr>
              <w:t>Ghz；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3、内存：≥</w:t>
            </w:r>
            <w:r>
              <w:t>64</w:t>
            </w:r>
            <w:r>
              <w:rPr>
                <w:rFonts w:hint="eastAsia"/>
              </w:rPr>
              <w:t>GB；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4、机械硬盘：≥</w:t>
            </w:r>
            <w:r>
              <w:t>1</w:t>
            </w:r>
            <w:r>
              <w:rPr>
                <w:rFonts w:hint="eastAsia"/>
              </w:rPr>
              <w:t>TB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5、千兆网卡；预装操作系统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6、包含1台≥23.8英寸显示器</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vAlign w:val="center"/>
          </w:tcPr>
          <w:p>
            <w:r>
              <w:rPr>
                <w:rFonts w:hint="eastAsia"/>
              </w:rPr>
              <w:t>扩声系统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w:t>
            </w:r>
          </w:p>
        </w:tc>
        <w:tc>
          <w:tcPr>
            <w:tcW w:w="766" w:type="dxa"/>
            <w:vMerge w:val="restart"/>
            <w:vAlign w:val="center"/>
          </w:tcPr>
          <w:p>
            <w:r>
              <w:rPr>
                <w:rFonts w:hint="eastAsia"/>
              </w:rPr>
              <w:t>数字调音台</w:t>
            </w:r>
          </w:p>
        </w:tc>
        <w:tc>
          <w:tcPr>
            <w:tcW w:w="4577" w:type="dxa"/>
            <w:vAlign w:val="center"/>
          </w:tcPr>
          <w:p>
            <w:r>
              <w:rPr>
                <w:rFonts w:hint="eastAsia"/>
              </w:rPr>
              <w:t>1.不少于24个XLR麦克风和TRS线路电平输入，麦克风输入支持48V幻象供电；</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2.不少于2x2USB音频传输；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3.不少于2路主输出；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4.不少于8个辅助输出，包含8个TRS接口和8个XLR接口；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5.不少于1个耳机输出接口；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6.具有监听输出；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7.不少于2个内部效果器；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8.不少于12组Group编组控制，12组DCA编组控制；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9.可扩展Dante网络音频，支持不少于32x32的Dante卡；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10.具有Auto Mixer自动混音功能；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11.每个输入通道具有噪声门，压缩/限幅器，高低通滤波器，四段参量均衡器，延时器；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12.每个输出通道具有压缩/限幅器，高低通滤波器，四段参量均衡，31段图示均衡器，延时器；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2.2</w:t>
            </w:r>
          </w:p>
        </w:tc>
        <w:tc>
          <w:tcPr>
            <w:tcW w:w="766" w:type="dxa"/>
            <w:vMerge w:val="restart"/>
            <w:vAlign w:val="center"/>
          </w:tcPr>
          <w:p>
            <w:r>
              <w:rPr>
                <w:rFonts w:hint="eastAsia"/>
              </w:rPr>
              <w:t>音频处理器</w:t>
            </w:r>
          </w:p>
        </w:tc>
        <w:tc>
          <w:tcPr>
            <w:tcW w:w="4577" w:type="dxa"/>
            <w:vAlign w:val="center"/>
          </w:tcPr>
          <w:p>
            <w:r>
              <w:rPr>
                <w:rFonts w:hint="eastAsia"/>
              </w:rPr>
              <w:t>1.不少于4路输入、4路输出平衡接口；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2.支持浏览器方式获取设备控制软件、控制代码等相关资料</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3.具有USB录制和播放功能；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4.内置语音摄像跟踪功能,可自定义代码，可控制不少于30台摄像机；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5.支持编组控制功能，联动控制多个物理通道的电平大小；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6.支持自适应回声消除AEC，内置自适应噪声消除ANS;</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7.支持自适应反馈消除AFC；</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8.支持门限型自动混音和增益分享型自动混音模式，有效抑制扩声系统声反馈，提升系统传声增益；</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9.输入每通道功能:前级放大器、扩展器、压缩器、参量均衡器；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10.输出每通道:参量/31段图均衡可选、分频器、延时器、高低通滤波器、限幅器；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11.支持不少于50组场景预设；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shd w:val="clear" w:color="auto" w:fill="auto"/>
            <w:noWrap/>
            <w:vAlign w:val="center"/>
          </w:tcPr>
          <w:p>
            <w:r>
              <w:rPr>
                <w:rFonts w:hint="eastAsia"/>
              </w:rPr>
              <w:t>2.3</w:t>
            </w:r>
          </w:p>
        </w:tc>
        <w:tc>
          <w:tcPr>
            <w:tcW w:w="766" w:type="dxa"/>
            <w:vMerge w:val="restart"/>
            <w:shd w:val="clear" w:color="auto" w:fill="auto"/>
            <w:vAlign w:val="center"/>
          </w:tcPr>
          <w:p>
            <w:r>
              <w:rPr>
                <w:rFonts w:hint="eastAsia"/>
              </w:rPr>
              <w:t>专业功放</w:t>
            </w:r>
          </w:p>
        </w:tc>
        <w:tc>
          <w:tcPr>
            <w:tcW w:w="4577" w:type="dxa"/>
            <w:shd w:val="clear" w:color="000000" w:fill="FFFFFF"/>
            <w:vAlign w:val="center"/>
          </w:tcPr>
          <w:p>
            <w:r>
              <w:rPr>
                <w:rFonts w:hint="eastAsia"/>
              </w:rPr>
              <w:t>1.采用ClassD技术,转换效率可达90%以上；</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2.机身轻、方便携带和安装，高度≤1U；；</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3.自动限幅输出、短路、过载、过温、开机延时等保护功能；</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4.功放配备延时启动系统,保护音箱不受冲击而损坏；</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5.后板配备双通道、单通道、桥接输出转换；</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6.平衡输入接口,SPEAKON输出；</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7.功放开关电源带有单独的冷却系统；</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8.散热风扇采用先进的无级变速电路控制。</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9.额定功率不低于:2×350W/8欧,2×550W/4欧；桥接:1×1000W/8欧；</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10.频率响应不低于:20Hz-20kHz(±3dB)；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11.总谐波失真(THD):≤0.01%；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2.4</w:t>
            </w:r>
          </w:p>
        </w:tc>
        <w:tc>
          <w:tcPr>
            <w:tcW w:w="766" w:type="dxa"/>
            <w:vMerge w:val="restart"/>
            <w:vAlign w:val="center"/>
          </w:tcPr>
          <w:p>
            <w:r>
              <w:rPr>
                <w:rFonts w:hint="eastAsia"/>
              </w:rPr>
              <w:t>专业音箱</w:t>
            </w:r>
          </w:p>
        </w:tc>
        <w:tc>
          <w:tcPr>
            <w:tcW w:w="4577" w:type="dxa"/>
            <w:vAlign w:val="center"/>
          </w:tcPr>
          <w:p>
            <w:r>
              <w:rPr>
                <w:rFonts w:hint="eastAsia"/>
              </w:rPr>
              <w:t>1.阻抗:8Ω;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2.频率范围：≥70Hz-20kHz;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3.特性灵敏度：≥93dB/1W/1m;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4.最大声压级：≥115dB;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5.额定功率：≥250W;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6.覆盖角度：≥H90°×V55°;</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7.10"低音×1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8.高音：1.4"压缩高音单元×1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2.5</w:t>
            </w:r>
          </w:p>
        </w:tc>
        <w:tc>
          <w:tcPr>
            <w:tcW w:w="766" w:type="dxa"/>
            <w:vMerge w:val="restart"/>
            <w:vAlign w:val="center"/>
          </w:tcPr>
          <w:p>
            <w:r>
              <w:rPr>
                <w:rFonts w:hint="eastAsia"/>
              </w:rPr>
              <w:t>支架1</w:t>
            </w:r>
          </w:p>
        </w:tc>
        <w:tc>
          <w:tcPr>
            <w:tcW w:w="4577" w:type="dxa"/>
            <w:noWrap/>
            <w:vAlign w:val="center"/>
          </w:tcPr>
          <w:p>
            <w:r>
              <w:rPr>
                <w:rFonts w:hint="eastAsia"/>
              </w:rPr>
              <w:t>1.固定面板尺寸（长*宽）:227mm*150mm±1mm</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2.臂长：280mm至400mm（可调节）</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2.6</w:t>
            </w:r>
          </w:p>
        </w:tc>
        <w:tc>
          <w:tcPr>
            <w:tcW w:w="766" w:type="dxa"/>
            <w:vMerge w:val="restart"/>
            <w:vAlign w:val="center"/>
          </w:tcPr>
          <w:p>
            <w:r>
              <w:rPr>
                <w:rFonts w:hint="eastAsia"/>
              </w:rPr>
              <w:t>支架2</w:t>
            </w:r>
          </w:p>
        </w:tc>
        <w:tc>
          <w:tcPr>
            <w:tcW w:w="4577" w:type="dxa"/>
            <w:noWrap/>
            <w:vAlign w:val="center"/>
          </w:tcPr>
          <w:p>
            <w:r>
              <w:rPr>
                <w:rFonts w:hint="eastAsia"/>
              </w:rPr>
              <w:t>整体伸缩长度：760mm~1260mm（每节增减50mm）</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角度调节：170度~370度（每孔位调节10度）</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2.7</w:t>
            </w:r>
          </w:p>
        </w:tc>
        <w:tc>
          <w:tcPr>
            <w:tcW w:w="766" w:type="dxa"/>
            <w:vAlign w:val="center"/>
          </w:tcPr>
          <w:p>
            <w:r>
              <w:rPr>
                <w:rFonts w:hint="eastAsia"/>
              </w:rPr>
              <w:t>无线话筒</w:t>
            </w:r>
          </w:p>
        </w:tc>
        <w:tc>
          <w:tcPr>
            <w:tcW w:w="4577" w:type="dxa"/>
            <w:vAlign w:val="center"/>
          </w:tcPr>
          <w:p>
            <w:r>
              <w:rPr>
                <w:rFonts w:hint="eastAsia"/>
              </w:rPr>
              <w:t>设备参数同上“2.12无线话筒”</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2.8</w:t>
            </w:r>
          </w:p>
        </w:tc>
        <w:tc>
          <w:tcPr>
            <w:tcW w:w="766" w:type="dxa"/>
            <w:vAlign w:val="center"/>
          </w:tcPr>
          <w:p>
            <w:r>
              <w:rPr>
                <w:rFonts w:hint="eastAsia"/>
              </w:rPr>
              <w:t>话筒天线</w:t>
            </w:r>
          </w:p>
        </w:tc>
        <w:tc>
          <w:tcPr>
            <w:tcW w:w="4577" w:type="dxa"/>
            <w:vAlign w:val="center"/>
          </w:tcPr>
          <w:p>
            <w:r>
              <w:rPr>
                <w:rFonts w:hint="eastAsia"/>
              </w:rPr>
              <w:t>设备参数同上“话筒天线”</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2.9</w:t>
            </w:r>
          </w:p>
        </w:tc>
        <w:tc>
          <w:tcPr>
            <w:tcW w:w="766" w:type="dxa"/>
            <w:vAlign w:val="center"/>
          </w:tcPr>
          <w:p>
            <w:r>
              <w:rPr>
                <w:rFonts w:hint="eastAsia"/>
              </w:rPr>
              <w:t>配套网络机柜</w:t>
            </w:r>
          </w:p>
        </w:tc>
        <w:tc>
          <w:tcPr>
            <w:tcW w:w="4577" w:type="dxa"/>
            <w:vAlign w:val="center"/>
          </w:tcPr>
          <w:p>
            <w:r>
              <w:rPr>
                <w:rFonts w:hint="eastAsia"/>
              </w:rPr>
              <w:t>2000*600*600mm，42U</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 xml:space="preserve">2.10 </w:t>
            </w:r>
          </w:p>
        </w:tc>
        <w:tc>
          <w:tcPr>
            <w:tcW w:w="766" w:type="dxa"/>
            <w:vAlign w:val="center"/>
          </w:tcPr>
          <w:p>
            <w:r>
              <w:rPr>
                <w:rFonts w:hint="eastAsia"/>
              </w:rPr>
              <w:t>天线延长线</w:t>
            </w:r>
          </w:p>
        </w:tc>
        <w:tc>
          <w:tcPr>
            <w:tcW w:w="4577" w:type="dxa"/>
            <w:vAlign w:val="center"/>
          </w:tcPr>
          <w:p>
            <w:r>
              <w:rPr>
                <w:rFonts w:hint="eastAsia"/>
              </w:rPr>
              <w:t>30米，用于延长有源天线到分配器的距离</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vAlign w:val="center"/>
          </w:tcPr>
          <w:p>
            <w:r>
              <w:rPr>
                <w:rFonts w:hint="eastAsia"/>
              </w:rPr>
              <w:t>远程视频会议终端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w:t>
            </w:r>
          </w:p>
        </w:tc>
        <w:tc>
          <w:tcPr>
            <w:tcW w:w="766" w:type="dxa"/>
            <w:vAlign w:val="center"/>
          </w:tcPr>
          <w:p>
            <w:r>
              <w:rPr>
                <w:rFonts w:hint="eastAsia"/>
              </w:rPr>
              <w:t>高清会议终端</w:t>
            </w:r>
          </w:p>
        </w:tc>
        <w:tc>
          <w:tcPr>
            <w:tcW w:w="4577" w:type="dxa"/>
            <w:noWrap/>
            <w:vAlign w:val="center"/>
          </w:tcPr>
          <w:p>
            <w:r>
              <w:rPr>
                <w:rFonts w:hint="eastAsia"/>
              </w:rPr>
              <w:t>设备参数同上“高清会议终端”</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3.2</w:t>
            </w:r>
          </w:p>
        </w:tc>
        <w:tc>
          <w:tcPr>
            <w:tcW w:w="766" w:type="dxa"/>
            <w:vMerge w:val="restart"/>
            <w:vAlign w:val="center"/>
          </w:tcPr>
          <w:p>
            <w:r>
              <w:rPr>
                <w:rFonts w:hint="eastAsia"/>
              </w:rPr>
              <w:t>高清一体摄像机</w:t>
            </w:r>
          </w:p>
        </w:tc>
        <w:tc>
          <w:tcPr>
            <w:tcW w:w="4577" w:type="dxa"/>
            <w:vAlign w:val="center"/>
          </w:tcPr>
          <w:p>
            <w:r>
              <w:rPr>
                <w:rFonts w:hint="eastAsia"/>
              </w:rPr>
              <w:t>1、采用不小于1/2.5" HD CMOS镜头，不低于850万有效像素，与会议终端同品牌。</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2、支持不小于12倍光学变焦，支持不小于16倍数字变焦。</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3、支持HDMI和HDBaseT接口。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4、云台转角：水平不小于±150°。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5、水平视角不小于70°。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3.3</w:t>
            </w:r>
          </w:p>
        </w:tc>
        <w:tc>
          <w:tcPr>
            <w:tcW w:w="766" w:type="dxa"/>
            <w:vAlign w:val="center"/>
          </w:tcPr>
          <w:p>
            <w:r>
              <w:rPr>
                <w:rFonts w:hint="eastAsia"/>
              </w:rPr>
              <w:t>阵列麦克风</w:t>
            </w:r>
          </w:p>
        </w:tc>
        <w:tc>
          <w:tcPr>
            <w:tcW w:w="4577" w:type="dxa"/>
            <w:vAlign w:val="center"/>
          </w:tcPr>
          <w:p>
            <w:r>
              <w:rPr>
                <w:rFonts w:hint="eastAsia"/>
              </w:rPr>
              <w:t>设备参数同上“阵列麦克风”</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3.4</w:t>
            </w:r>
          </w:p>
        </w:tc>
        <w:tc>
          <w:tcPr>
            <w:tcW w:w="766" w:type="dxa"/>
            <w:vAlign w:val="center"/>
          </w:tcPr>
          <w:p>
            <w:r>
              <w:rPr>
                <w:rFonts w:hint="eastAsia"/>
              </w:rPr>
              <w:t>高清电视</w:t>
            </w:r>
          </w:p>
        </w:tc>
        <w:tc>
          <w:tcPr>
            <w:tcW w:w="4577" w:type="dxa"/>
            <w:vAlign w:val="center"/>
          </w:tcPr>
          <w:p>
            <w:r>
              <w:rPr>
                <w:rFonts w:hint="eastAsia"/>
              </w:rPr>
              <w:t>≥65英寸高清电视，分辨率不低于3840*2160；</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3.5</w:t>
            </w:r>
          </w:p>
        </w:tc>
        <w:tc>
          <w:tcPr>
            <w:tcW w:w="766" w:type="dxa"/>
            <w:vAlign w:val="center"/>
          </w:tcPr>
          <w:p>
            <w:r>
              <w:rPr>
                <w:rFonts w:hint="eastAsia"/>
              </w:rPr>
              <w:t>视频会议配套支架</w:t>
            </w:r>
          </w:p>
        </w:tc>
        <w:tc>
          <w:tcPr>
            <w:tcW w:w="4577" w:type="dxa"/>
            <w:vAlign w:val="center"/>
          </w:tcPr>
          <w:p>
            <w:r>
              <w:rPr>
                <w:rFonts w:hint="eastAsia"/>
              </w:rPr>
              <w:t>视频会议摄像机配套</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3.6</w:t>
            </w:r>
          </w:p>
        </w:tc>
        <w:tc>
          <w:tcPr>
            <w:tcW w:w="766" w:type="dxa"/>
            <w:vAlign w:val="center"/>
          </w:tcPr>
          <w:p>
            <w:r>
              <w:rPr>
                <w:rFonts w:hint="eastAsia"/>
              </w:rPr>
              <w:t>线材及其他</w:t>
            </w:r>
          </w:p>
        </w:tc>
        <w:tc>
          <w:tcPr>
            <w:tcW w:w="4577" w:type="dxa"/>
            <w:vAlign w:val="center"/>
          </w:tcPr>
          <w:p>
            <w:r>
              <w:rPr>
                <w:rFonts w:hint="eastAsia"/>
              </w:rPr>
              <w:t>网络线材及辅材</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vAlign w:val="center"/>
          </w:tcPr>
          <w:p>
            <w:r>
              <w:rPr>
                <w:rFonts w:hint="eastAsia"/>
              </w:rPr>
              <w:t>数字会议发言系统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vAlign w:val="center"/>
          </w:tcPr>
          <w:p>
            <w:r>
              <w:rPr>
                <w:rFonts w:hint="eastAsia"/>
              </w:rPr>
              <w:t>会议系统主机</w:t>
            </w:r>
          </w:p>
        </w:tc>
        <w:tc>
          <w:tcPr>
            <w:tcW w:w="4577" w:type="dxa"/>
            <w:noWrap/>
            <w:vAlign w:val="center"/>
          </w:tcPr>
          <w:p>
            <w:r>
              <w:rPr>
                <w:rFonts w:hint="eastAsia"/>
              </w:rPr>
              <w:t>参数同上“会议系统主机”</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vAlign w:val="center"/>
          </w:tcPr>
          <w:p>
            <w:r>
              <w:rPr>
                <w:rFonts w:hint="eastAsia"/>
              </w:rPr>
              <w:t>会议主席单元</w:t>
            </w:r>
          </w:p>
        </w:tc>
        <w:tc>
          <w:tcPr>
            <w:tcW w:w="4577" w:type="dxa"/>
            <w:noWrap/>
            <w:vAlign w:val="center"/>
          </w:tcPr>
          <w:p>
            <w:r>
              <w:rPr>
                <w:rFonts w:hint="eastAsia"/>
              </w:rPr>
              <w:t>参数同上“会议主席单元”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4.3</w:t>
            </w:r>
          </w:p>
        </w:tc>
        <w:tc>
          <w:tcPr>
            <w:tcW w:w="766" w:type="dxa"/>
            <w:vAlign w:val="center"/>
          </w:tcPr>
          <w:p>
            <w:r>
              <w:rPr>
                <w:rFonts w:hint="eastAsia"/>
              </w:rPr>
              <w:t>会议代表单元</w:t>
            </w:r>
          </w:p>
        </w:tc>
        <w:tc>
          <w:tcPr>
            <w:tcW w:w="4577" w:type="dxa"/>
            <w:noWrap/>
            <w:vAlign w:val="center"/>
          </w:tcPr>
          <w:p>
            <w:r>
              <w:rPr>
                <w:rFonts w:hint="eastAsia"/>
              </w:rPr>
              <w:t>参数同上“会议代表单元”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4.4</w:t>
            </w:r>
          </w:p>
        </w:tc>
        <w:tc>
          <w:tcPr>
            <w:tcW w:w="766" w:type="dxa"/>
            <w:vAlign w:val="center"/>
          </w:tcPr>
          <w:p>
            <w:r>
              <w:rPr>
                <w:rFonts w:hint="eastAsia"/>
              </w:rPr>
              <w:t>手拉手会议代表控制内嵌软件</w:t>
            </w:r>
          </w:p>
        </w:tc>
        <w:tc>
          <w:tcPr>
            <w:tcW w:w="4577" w:type="dxa"/>
            <w:vAlign w:val="center"/>
          </w:tcPr>
          <w:p>
            <w:r>
              <w:rPr>
                <w:rFonts w:hint="eastAsia"/>
              </w:rPr>
              <w:t>应用于实现会议系统话筒单元的发言及管理，支持手拉手模式扩展连接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4.5</w:t>
            </w:r>
          </w:p>
        </w:tc>
        <w:tc>
          <w:tcPr>
            <w:tcW w:w="766" w:type="dxa"/>
            <w:vAlign w:val="center"/>
          </w:tcPr>
          <w:p>
            <w:r>
              <w:rPr>
                <w:rFonts w:hint="eastAsia"/>
              </w:rPr>
              <w:t>无线接入点和收发器</w:t>
            </w:r>
          </w:p>
        </w:tc>
        <w:tc>
          <w:tcPr>
            <w:tcW w:w="4577" w:type="dxa"/>
            <w:vAlign w:val="center"/>
          </w:tcPr>
          <w:p>
            <w:r>
              <w:rPr>
                <w:rFonts w:hint="eastAsia"/>
              </w:rPr>
              <w:t>设备参数同上“无线接入点和收发器”</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4.6</w:t>
            </w:r>
          </w:p>
        </w:tc>
        <w:tc>
          <w:tcPr>
            <w:tcW w:w="766" w:type="dxa"/>
            <w:vAlign w:val="center"/>
          </w:tcPr>
          <w:p>
            <w:r>
              <w:rPr>
                <w:rFonts w:hint="eastAsia"/>
              </w:rPr>
              <w:t>耗材及其他</w:t>
            </w:r>
          </w:p>
        </w:tc>
        <w:tc>
          <w:tcPr>
            <w:tcW w:w="4577" w:type="dxa"/>
            <w:noWrap/>
            <w:vAlign w:val="center"/>
          </w:tcPr>
          <w:p>
            <w:r>
              <w:rPr>
                <w:rFonts w:hint="eastAsia"/>
              </w:rPr>
              <w:t>音频线材及辅材</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5343" w:type="dxa"/>
            <w:gridSpan w:val="2"/>
            <w:vAlign w:val="center"/>
          </w:tcPr>
          <w:p>
            <w:r>
              <w:rPr>
                <w:rFonts w:hint="eastAsia"/>
              </w:rPr>
              <w:t>会议桌椅</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5.1</w:t>
            </w:r>
          </w:p>
        </w:tc>
        <w:tc>
          <w:tcPr>
            <w:tcW w:w="766" w:type="dxa"/>
            <w:vMerge w:val="restart"/>
            <w:vAlign w:val="center"/>
          </w:tcPr>
          <w:p>
            <w:r>
              <w:rPr>
                <w:rFonts w:hint="eastAsia"/>
              </w:rPr>
              <w:t>24人定制会议桌</w:t>
            </w:r>
          </w:p>
        </w:tc>
        <w:tc>
          <w:tcPr>
            <w:tcW w:w="4577" w:type="dxa"/>
            <w:vAlign w:val="center"/>
          </w:tcPr>
          <w:p>
            <w:r>
              <w:rPr>
                <w:rFonts w:hint="eastAsia"/>
              </w:rPr>
              <w:t>尺寸：长8000mm x 宽2000mm x 高750mm（或可定制）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材质：实木/人造板材</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颜色：深色木纹或浅色木纹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长方形桌面，中间可加装线槽，便于接入电源和网络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5.2</w:t>
            </w:r>
          </w:p>
        </w:tc>
        <w:tc>
          <w:tcPr>
            <w:tcW w:w="766" w:type="dxa"/>
            <w:vAlign w:val="center"/>
          </w:tcPr>
          <w:p>
            <w:r>
              <w:rPr>
                <w:rFonts w:hint="eastAsia"/>
              </w:rPr>
              <w:t>会议椅子</w:t>
            </w:r>
          </w:p>
        </w:tc>
        <w:tc>
          <w:tcPr>
            <w:tcW w:w="4577" w:type="dxa"/>
            <w:vAlign w:val="center"/>
          </w:tcPr>
          <w:p>
            <w:r>
              <w:rPr>
                <w:rFonts w:hint="eastAsia"/>
              </w:rPr>
              <w:t>人体工学办公椅,靠背最大角度：120-155度; 气压升降、升降扶手；带滚轮，调节式头枕</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三</w:t>
            </w:r>
          </w:p>
        </w:tc>
        <w:tc>
          <w:tcPr>
            <w:tcW w:w="5343" w:type="dxa"/>
            <w:gridSpan w:val="2"/>
            <w:vAlign w:val="center"/>
          </w:tcPr>
          <w:p>
            <w:r>
              <w:rPr>
                <w:rFonts w:hint="eastAsia"/>
              </w:rPr>
              <w:t>研判室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766" w:type="dxa"/>
            <w:vAlign w:val="center"/>
          </w:tcPr>
          <w:p>
            <w:r>
              <w:rPr>
                <w:rFonts w:hint="eastAsia"/>
              </w:rPr>
              <w:t>86寸智慧屏一体机</w:t>
            </w:r>
          </w:p>
        </w:tc>
        <w:tc>
          <w:tcPr>
            <w:tcW w:w="4577" w:type="dxa"/>
            <w:vAlign w:val="center"/>
          </w:tcPr>
          <w:p>
            <w:r>
              <w:rPr>
                <w:rFonts w:hint="eastAsia"/>
              </w:rPr>
              <w:t>参数同上“86寸智慧屏一体机”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766" w:type="dxa"/>
            <w:vAlign w:val="center"/>
          </w:tcPr>
          <w:p>
            <w:r>
              <w:rPr>
                <w:rFonts w:hint="eastAsia"/>
              </w:rPr>
              <w:t>双路4K输入节点</w:t>
            </w:r>
          </w:p>
        </w:tc>
        <w:tc>
          <w:tcPr>
            <w:tcW w:w="4577" w:type="dxa"/>
            <w:vAlign w:val="center"/>
          </w:tcPr>
          <w:p>
            <w:r>
              <w:rPr>
                <w:rFonts w:hint="eastAsia"/>
              </w:rPr>
              <w:t>参数同上“双路4K输入节点”</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766" w:type="dxa"/>
            <w:vAlign w:val="center"/>
          </w:tcPr>
          <w:p>
            <w:r>
              <w:rPr>
                <w:rFonts w:hint="eastAsia"/>
              </w:rPr>
              <w:t>双路4K输出节点</w:t>
            </w:r>
          </w:p>
        </w:tc>
        <w:tc>
          <w:tcPr>
            <w:tcW w:w="4577" w:type="dxa"/>
            <w:noWrap/>
            <w:vAlign w:val="center"/>
          </w:tcPr>
          <w:p>
            <w:r>
              <w:rPr>
                <w:rFonts w:hint="eastAsia"/>
              </w:rPr>
              <w:t>参数同上“双路4K输出节点”</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w:t>
            </w:r>
          </w:p>
        </w:tc>
        <w:tc>
          <w:tcPr>
            <w:tcW w:w="766" w:type="dxa"/>
            <w:vMerge w:val="restart"/>
            <w:vAlign w:val="center"/>
          </w:tcPr>
          <w:p>
            <w:r>
              <w:rPr>
                <w:rFonts w:hint="eastAsia"/>
              </w:rPr>
              <w:t>音频处理器</w:t>
            </w:r>
          </w:p>
        </w:tc>
        <w:tc>
          <w:tcPr>
            <w:tcW w:w="4577" w:type="dxa"/>
            <w:vAlign w:val="center"/>
          </w:tcPr>
          <w:p>
            <w:r>
              <w:rPr>
                <w:rFonts w:hint="eastAsia"/>
              </w:rPr>
              <w:t>1.不少于4路输入、4路输出平衡接口；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2.支持浏览器方式获取设备控制软件、控制代码等相关资料；</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3.具有USB录制和播放功能；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4.内置语音摄像跟踪功能,可自定义代码，可控制不少于30台摄像机；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5.支持编组控制功能，联动控制多个物理通道的电平大小；</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6.支持自适应回声消除AEC，内置自适应噪声消除ANS;</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7.支持自适应反馈消除AFC；</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8.支持门限型自动混音和增益分享型自动混音模式，有效抑制扩声系统声反馈，提升系统传声增益；</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9.输入每通道功能:前级放大器、扩展器、压缩器、参量均衡器；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10.输出每通道:参量/31段图均衡可选、分频器、延时器、高低通滤波器、限幅器；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11.支持不少于50组场景预设；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shd w:val="clear" w:color="auto" w:fill="auto"/>
            <w:noWrap/>
            <w:vAlign w:val="center"/>
          </w:tcPr>
          <w:p>
            <w:r>
              <w:rPr>
                <w:rFonts w:hint="eastAsia"/>
              </w:rPr>
              <w:t>5</w:t>
            </w:r>
          </w:p>
        </w:tc>
        <w:tc>
          <w:tcPr>
            <w:tcW w:w="766" w:type="dxa"/>
            <w:vMerge w:val="restart"/>
            <w:shd w:val="clear" w:color="auto" w:fill="auto"/>
            <w:vAlign w:val="center"/>
          </w:tcPr>
          <w:p>
            <w:r>
              <w:rPr>
                <w:rFonts w:hint="eastAsia"/>
              </w:rPr>
              <w:t>专业功放</w:t>
            </w:r>
          </w:p>
        </w:tc>
        <w:tc>
          <w:tcPr>
            <w:tcW w:w="4577" w:type="dxa"/>
            <w:shd w:val="clear" w:color="000000" w:fill="FFFFFF"/>
            <w:vAlign w:val="center"/>
          </w:tcPr>
          <w:p>
            <w:r>
              <w:rPr>
                <w:rFonts w:hint="eastAsia"/>
              </w:rPr>
              <w:t>1.采用ClassD技术,转换效率可达90%以上；</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2.机身轻、方便携带和安装，高度≤1U；；</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3.自动限幅输出、短路、过载、过温、开机延时等保护功能；</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4.功放配备延时启动系统,保护音箱不受冲击而损坏；</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5.后板配备双通道、单通道、桥接输出转换；</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6.平衡输入接口,SPEAKON输出；</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7.功放开关电源带有单独的冷却系统；</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8.散热风扇采用无级变速电路控制。</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shd w:val="clear" w:color="auto" w:fill="auto"/>
            <w:vAlign w:val="center"/>
          </w:tcPr>
          <w:p/>
        </w:tc>
        <w:tc>
          <w:tcPr>
            <w:tcW w:w="766" w:type="dxa"/>
            <w:vMerge w:val="continue"/>
            <w:shd w:val="clear" w:color="auto" w:fill="auto"/>
            <w:vAlign w:val="center"/>
          </w:tcPr>
          <w:p/>
        </w:tc>
        <w:tc>
          <w:tcPr>
            <w:tcW w:w="4577" w:type="dxa"/>
            <w:shd w:val="clear" w:color="000000" w:fill="FFFFFF"/>
            <w:vAlign w:val="center"/>
          </w:tcPr>
          <w:p>
            <w:r>
              <w:rPr>
                <w:rFonts w:hint="eastAsia"/>
              </w:rPr>
              <w:t>9.额定功率不低于:2×350W/8欧,2×550W/4欧；桥接:1×1000W/8欧；</w:t>
            </w:r>
          </w:p>
        </w:tc>
        <w:tc>
          <w:tcPr>
            <w:tcW w:w="1050" w:type="dxa"/>
            <w:shd w:val="clear" w:color="000000" w:fill="FFFFFF"/>
            <w:vAlign w:val="center"/>
          </w:tcPr>
          <w:p>
            <w:pPr>
              <w:rPr>
                <w:rFonts w:hint="eastAsia"/>
              </w:rPr>
            </w:pPr>
          </w:p>
        </w:tc>
        <w:tc>
          <w:tcPr>
            <w:tcW w:w="773" w:type="dxa"/>
            <w:shd w:val="clear" w:color="000000" w:fill="FFFFFF"/>
            <w:vAlign w:val="center"/>
          </w:tcPr>
          <w:p>
            <w:pPr>
              <w:rPr>
                <w:rFonts w:hint="eastAsia"/>
              </w:rPr>
            </w:pPr>
          </w:p>
        </w:tc>
        <w:tc>
          <w:tcPr>
            <w:tcW w:w="807" w:type="dxa"/>
            <w:shd w:val="clear" w:color="000000" w:fill="FFFFFF"/>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10.频率响应不低于:20Hz-20kHz(±3dB)；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11.总谐波失真(THD):≤0.01%；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6</w:t>
            </w:r>
          </w:p>
        </w:tc>
        <w:tc>
          <w:tcPr>
            <w:tcW w:w="766" w:type="dxa"/>
            <w:vMerge w:val="restart"/>
            <w:vAlign w:val="center"/>
          </w:tcPr>
          <w:p>
            <w:r>
              <w:rPr>
                <w:rFonts w:hint="eastAsia"/>
              </w:rPr>
              <w:t>专业音箱</w:t>
            </w:r>
          </w:p>
        </w:tc>
        <w:tc>
          <w:tcPr>
            <w:tcW w:w="4577" w:type="dxa"/>
            <w:vAlign w:val="center"/>
          </w:tcPr>
          <w:p>
            <w:r>
              <w:rPr>
                <w:rFonts w:hint="eastAsia"/>
              </w:rPr>
              <w:t>1.阻抗:8Ω;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2.频率范围：≥70Hz-20kHz;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3.特性灵敏度：≥93dB/1W/1m;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4.最大声压级：≥115dB;</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5.额定功率：≥250W;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6.覆盖角度：≥H90°×V55°;</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7.10"低音×1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8.高音：1.4"压缩高音单元×1</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7</w:t>
            </w:r>
          </w:p>
        </w:tc>
        <w:tc>
          <w:tcPr>
            <w:tcW w:w="766" w:type="dxa"/>
            <w:vAlign w:val="center"/>
          </w:tcPr>
          <w:p>
            <w:r>
              <w:rPr>
                <w:rFonts w:hint="eastAsia"/>
              </w:rPr>
              <w:t>支架</w:t>
            </w:r>
          </w:p>
        </w:tc>
        <w:tc>
          <w:tcPr>
            <w:tcW w:w="4577" w:type="dxa"/>
            <w:noWrap/>
            <w:vAlign w:val="center"/>
          </w:tcPr>
          <w:p>
            <w:r>
              <w:rPr>
                <w:rFonts w:hint="eastAsia"/>
              </w:rPr>
              <w:t>1.臂长：280mm至400mm（可调节）</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8</w:t>
            </w:r>
          </w:p>
        </w:tc>
        <w:tc>
          <w:tcPr>
            <w:tcW w:w="766" w:type="dxa"/>
            <w:vAlign w:val="center"/>
          </w:tcPr>
          <w:p>
            <w:r>
              <w:rPr>
                <w:rFonts w:hint="eastAsia"/>
              </w:rPr>
              <w:t>无线话筒</w:t>
            </w:r>
          </w:p>
        </w:tc>
        <w:tc>
          <w:tcPr>
            <w:tcW w:w="4577" w:type="dxa"/>
            <w:noWrap/>
            <w:vAlign w:val="center"/>
          </w:tcPr>
          <w:p>
            <w:r>
              <w:rPr>
                <w:rFonts w:hint="eastAsia"/>
              </w:rPr>
              <w:t>参数同上“2.12无线话筒”</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9</w:t>
            </w:r>
          </w:p>
        </w:tc>
        <w:tc>
          <w:tcPr>
            <w:tcW w:w="766" w:type="dxa"/>
            <w:vAlign w:val="center"/>
          </w:tcPr>
          <w:p>
            <w:r>
              <w:rPr>
                <w:rFonts w:hint="eastAsia"/>
              </w:rPr>
              <w:t>话筒天线</w:t>
            </w:r>
          </w:p>
        </w:tc>
        <w:tc>
          <w:tcPr>
            <w:tcW w:w="4577" w:type="dxa"/>
            <w:vAlign w:val="center"/>
          </w:tcPr>
          <w:p>
            <w:r>
              <w:rPr>
                <w:rFonts w:hint="eastAsia"/>
              </w:rPr>
              <w:t>设备参数同上“话筒天线”</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10</w:t>
            </w:r>
          </w:p>
        </w:tc>
        <w:tc>
          <w:tcPr>
            <w:tcW w:w="766" w:type="dxa"/>
            <w:vAlign w:val="center"/>
          </w:tcPr>
          <w:p>
            <w:r>
              <w:rPr>
                <w:rFonts w:hint="eastAsia"/>
              </w:rPr>
              <w:t>配套网络机柜</w:t>
            </w:r>
          </w:p>
        </w:tc>
        <w:tc>
          <w:tcPr>
            <w:tcW w:w="4577" w:type="dxa"/>
            <w:noWrap/>
            <w:vAlign w:val="center"/>
          </w:tcPr>
          <w:p>
            <w:r>
              <w:rPr>
                <w:rFonts w:hint="eastAsia"/>
              </w:rPr>
              <w:t>2000*600*600mm，42U</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11</w:t>
            </w:r>
          </w:p>
        </w:tc>
        <w:tc>
          <w:tcPr>
            <w:tcW w:w="766" w:type="dxa"/>
            <w:vAlign w:val="center"/>
          </w:tcPr>
          <w:p>
            <w:r>
              <w:rPr>
                <w:rFonts w:hint="eastAsia"/>
              </w:rPr>
              <w:t>高清会议终端</w:t>
            </w:r>
          </w:p>
        </w:tc>
        <w:tc>
          <w:tcPr>
            <w:tcW w:w="4577" w:type="dxa"/>
            <w:noWrap/>
            <w:vAlign w:val="center"/>
          </w:tcPr>
          <w:p>
            <w:r>
              <w:rPr>
                <w:rFonts w:hint="eastAsia"/>
              </w:rPr>
              <w:t>设备参数同上“高清会议终端”</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766" w:type="dxa"/>
            <w:vAlign w:val="center"/>
          </w:tcPr>
          <w:p>
            <w:r>
              <w:rPr>
                <w:rFonts w:hint="eastAsia"/>
              </w:rPr>
              <w:t>高清一体摄像机</w:t>
            </w:r>
          </w:p>
        </w:tc>
        <w:tc>
          <w:tcPr>
            <w:tcW w:w="4577" w:type="dxa"/>
            <w:noWrap/>
            <w:vAlign w:val="center"/>
          </w:tcPr>
          <w:p>
            <w:r>
              <w:rPr>
                <w:rFonts w:hint="eastAsia"/>
              </w:rPr>
              <w:t>设备参数同上“高清一体摄像机”。</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13</w:t>
            </w:r>
          </w:p>
        </w:tc>
        <w:tc>
          <w:tcPr>
            <w:tcW w:w="766" w:type="dxa"/>
            <w:vAlign w:val="center"/>
          </w:tcPr>
          <w:p>
            <w:r>
              <w:rPr>
                <w:rFonts w:hint="eastAsia"/>
              </w:rPr>
              <w:t>阵列麦克风</w:t>
            </w:r>
          </w:p>
        </w:tc>
        <w:tc>
          <w:tcPr>
            <w:tcW w:w="4577" w:type="dxa"/>
            <w:noWrap/>
            <w:vAlign w:val="center"/>
          </w:tcPr>
          <w:p>
            <w:r>
              <w:rPr>
                <w:rFonts w:hint="eastAsia"/>
              </w:rPr>
              <w:t>设备参数同上“阵列麦克风”</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14</w:t>
            </w:r>
          </w:p>
        </w:tc>
        <w:tc>
          <w:tcPr>
            <w:tcW w:w="766" w:type="dxa"/>
            <w:vAlign w:val="center"/>
          </w:tcPr>
          <w:p>
            <w:r>
              <w:rPr>
                <w:rFonts w:hint="eastAsia"/>
              </w:rPr>
              <w:t>会议系统主机</w:t>
            </w:r>
          </w:p>
        </w:tc>
        <w:tc>
          <w:tcPr>
            <w:tcW w:w="4577" w:type="dxa"/>
            <w:noWrap/>
            <w:vAlign w:val="center"/>
          </w:tcPr>
          <w:p>
            <w:r>
              <w:rPr>
                <w:rFonts w:hint="eastAsia"/>
              </w:rPr>
              <w:t>设备参数同上“系统会议主机”</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15</w:t>
            </w:r>
          </w:p>
        </w:tc>
        <w:tc>
          <w:tcPr>
            <w:tcW w:w="766" w:type="dxa"/>
            <w:vAlign w:val="center"/>
          </w:tcPr>
          <w:p>
            <w:r>
              <w:rPr>
                <w:rFonts w:hint="eastAsia"/>
              </w:rPr>
              <w:t>会议主席单元</w:t>
            </w:r>
          </w:p>
        </w:tc>
        <w:tc>
          <w:tcPr>
            <w:tcW w:w="4577" w:type="dxa"/>
            <w:vAlign w:val="center"/>
          </w:tcPr>
          <w:p>
            <w:r>
              <w:rPr>
                <w:rFonts w:hint="eastAsia"/>
              </w:rPr>
              <w:t>设备参数同上“会议主席单元”</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16</w:t>
            </w:r>
          </w:p>
        </w:tc>
        <w:tc>
          <w:tcPr>
            <w:tcW w:w="766" w:type="dxa"/>
            <w:vAlign w:val="center"/>
          </w:tcPr>
          <w:p>
            <w:r>
              <w:rPr>
                <w:rFonts w:hint="eastAsia"/>
              </w:rPr>
              <w:t>会议代表单元</w:t>
            </w:r>
          </w:p>
        </w:tc>
        <w:tc>
          <w:tcPr>
            <w:tcW w:w="4577" w:type="dxa"/>
            <w:vAlign w:val="center"/>
          </w:tcPr>
          <w:p>
            <w:r>
              <w:rPr>
                <w:rFonts w:hint="eastAsia"/>
              </w:rPr>
              <w:t>设备参数同上“会议代表单元”</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17</w:t>
            </w:r>
          </w:p>
        </w:tc>
        <w:tc>
          <w:tcPr>
            <w:tcW w:w="766" w:type="dxa"/>
            <w:vAlign w:val="center"/>
          </w:tcPr>
          <w:p>
            <w:r>
              <w:rPr>
                <w:rFonts w:hint="eastAsia"/>
              </w:rPr>
              <w:t>手拉手会议代表控制内嵌软件</w:t>
            </w:r>
          </w:p>
        </w:tc>
        <w:tc>
          <w:tcPr>
            <w:tcW w:w="4577" w:type="dxa"/>
            <w:noWrap/>
            <w:vAlign w:val="center"/>
          </w:tcPr>
          <w:p>
            <w:r>
              <w:rPr>
                <w:rFonts w:hint="eastAsia"/>
              </w:rPr>
              <w:t>设备参数同上“手拉手会议代表控制内嵌软件”</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18</w:t>
            </w:r>
          </w:p>
        </w:tc>
        <w:tc>
          <w:tcPr>
            <w:tcW w:w="766" w:type="dxa"/>
            <w:vAlign w:val="center"/>
          </w:tcPr>
          <w:p>
            <w:r>
              <w:rPr>
                <w:rFonts w:hint="eastAsia"/>
              </w:rPr>
              <w:t>无线接入点和收发器</w:t>
            </w:r>
          </w:p>
        </w:tc>
        <w:tc>
          <w:tcPr>
            <w:tcW w:w="4577" w:type="dxa"/>
            <w:noWrap/>
            <w:vAlign w:val="center"/>
          </w:tcPr>
          <w:p>
            <w:r>
              <w:rPr>
                <w:rFonts w:hint="eastAsia"/>
              </w:rPr>
              <w:t>设备参数同上“无线接入点和收发器”</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19</w:t>
            </w:r>
          </w:p>
        </w:tc>
        <w:tc>
          <w:tcPr>
            <w:tcW w:w="766" w:type="dxa"/>
            <w:vMerge w:val="restart"/>
            <w:vAlign w:val="center"/>
          </w:tcPr>
          <w:p>
            <w:r>
              <w:rPr>
                <w:rFonts w:hint="eastAsia"/>
              </w:rPr>
              <w:t>12人定制会议桌</w:t>
            </w:r>
          </w:p>
        </w:tc>
        <w:tc>
          <w:tcPr>
            <w:tcW w:w="4577" w:type="dxa"/>
            <w:vAlign w:val="center"/>
          </w:tcPr>
          <w:p>
            <w:r>
              <w:rPr>
                <w:rFonts w:hint="eastAsia"/>
              </w:rPr>
              <w:t>尺寸：长4500mm x 宽2000mm x 高750mm（或可定制）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材质：优质实木/人造板材</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颜色：深色木纹或浅色木纹</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设计：长方形桌面，中间可加装线槽，便于接入电源和网络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20</w:t>
            </w:r>
          </w:p>
        </w:tc>
        <w:tc>
          <w:tcPr>
            <w:tcW w:w="766" w:type="dxa"/>
            <w:vAlign w:val="center"/>
          </w:tcPr>
          <w:p>
            <w:r>
              <w:rPr>
                <w:rFonts w:hint="eastAsia"/>
              </w:rPr>
              <w:t>会议椅子</w:t>
            </w:r>
          </w:p>
        </w:tc>
        <w:tc>
          <w:tcPr>
            <w:tcW w:w="4577" w:type="dxa"/>
            <w:vAlign w:val="center"/>
          </w:tcPr>
          <w:p>
            <w:r>
              <w:rPr>
                <w:rFonts w:hint="eastAsia"/>
              </w:rPr>
              <w:t>人体工学办公椅,靠背最大角度：120-155度; 气压升降、升降扶手；带滚轮，调节式头枕</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21</w:t>
            </w:r>
          </w:p>
        </w:tc>
        <w:tc>
          <w:tcPr>
            <w:tcW w:w="766" w:type="dxa"/>
            <w:vAlign w:val="center"/>
          </w:tcPr>
          <w:p>
            <w:r>
              <w:rPr>
                <w:rFonts w:hint="eastAsia"/>
              </w:rPr>
              <w:t>连接线</w:t>
            </w:r>
          </w:p>
        </w:tc>
        <w:tc>
          <w:tcPr>
            <w:tcW w:w="4577" w:type="dxa"/>
            <w:vAlign w:val="center"/>
          </w:tcPr>
          <w:p>
            <w:r>
              <w:rPr>
                <w:rFonts w:hint="eastAsia"/>
              </w:rPr>
              <w:t>音频线材及辅材</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22</w:t>
            </w:r>
          </w:p>
        </w:tc>
        <w:tc>
          <w:tcPr>
            <w:tcW w:w="766" w:type="dxa"/>
            <w:vAlign w:val="center"/>
          </w:tcPr>
          <w:p>
            <w:r>
              <w:rPr>
                <w:rFonts w:hint="eastAsia"/>
              </w:rPr>
              <w:t>插座</w:t>
            </w:r>
          </w:p>
        </w:tc>
        <w:tc>
          <w:tcPr>
            <w:tcW w:w="4577" w:type="dxa"/>
            <w:vAlign w:val="center"/>
          </w:tcPr>
          <w:p>
            <w:r>
              <w:rPr>
                <w:rFonts w:hint="eastAsia"/>
              </w:rPr>
              <w:t>采用铝合金材料，一进一出，采用100M 网络传输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23</w:t>
            </w:r>
          </w:p>
        </w:tc>
        <w:tc>
          <w:tcPr>
            <w:tcW w:w="766" w:type="dxa"/>
            <w:vAlign w:val="center"/>
          </w:tcPr>
          <w:p>
            <w:r>
              <w:rPr>
                <w:rFonts w:hint="eastAsia"/>
              </w:rPr>
              <w:t>电线电缆及其他辅材</w:t>
            </w:r>
          </w:p>
        </w:tc>
        <w:tc>
          <w:tcPr>
            <w:tcW w:w="4577" w:type="dxa"/>
            <w:vAlign w:val="center"/>
          </w:tcPr>
          <w:p>
            <w:r>
              <w:rPr>
                <w:rFonts w:hint="eastAsia"/>
              </w:rPr>
              <w:t>LED电力电缆、信号网络电缆、HDMI/DVI线材等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四</w:t>
            </w:r>
          </w:p>
        </w:tc>
        <w:tc>
          <w:tcPr>
            <w:tcW w:w="5343" w:type="dxa"/>
            <w:gridSpan w:val="2"/>
            <w:vAlign w:val="center"/>
          </w:tcPr>
          <w:p>
            <w:r>
              <w:rPr>
                <w:rFonts w:hint="eastAsia"/>
              </w:rPr>
              <w:t>设备间</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vAlign w:val="center"/>
          </w:tcPr>
          <w:p>
            <w:r>
              <w:rPr>
                <w:rFonts w:hint="eastAsia"/>
              </w:rPr>
              <w:t>UPS系统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w:t>
            </w:r>
          </w:p>
        </w:tc>
        <w:tc>
          <w:tcPr>
            <w:tcW w:w="766" w:type="dxa"/>
            <w:vMerge w:val="restart"/>
            <w:vAlign w:val="center"/>
          </w:tcPr>
          <w:p>
            <w:r>
              <w:rPr>
                <w:rFonts w:hint="eastAsia"/>
              </w:rPr>
              <w:t>UPS系统（配电一体柜）</w:t>
            </w:r>
          </w:p>
        </w:tc>
        <w:tc>
          <w:tcPr>
            <w:tcW w:w="4577" w:type="dxa"/>
            <w:vAlign w:val="center"/>
          </w:tcPr>
          <w:p>
            <w:r>
              <w:rPr>
                <w:rFonts w:hint="eastAsia"/>
              </w:rPr>
              <w:t>1.容量:30kVA/30kW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2.输入:380/400/415Vac;3中+N+PE;63A Max; 50/60Hz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3.输出:380/400/415Vac;3Φ+N+PE;63A Max:50/60Hz</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4.电池输入:±96/108/120Vdc:139/141/143A</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5.支持并机使用，具有电池数量可调功能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6.具有LED显示功能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766" w:type="dxa"/>
            <w:vAlign w:val="center"/>
          </w:tcPr>
          <w:p>
            <w:r>
              <w:rPr>
                <w:rFonts w:hint="eastAsia"/>
              </w:rPr>
              <w:t>电池组</w:t>
            </w:r>
          </w:p>
        </w:tc>
        <w:tc>
          <w:tcPr>
            <w:tcW w:w="4577" w:type="dxa"/>
            <w:vAlign w:val="center"/>
          </w:tcPr>
          <w:p>
            <w:r>
              <w:rPr>
                <w:rFonts w:hint="eastAsia"/>
              </w:rPr>
              <w:t>定制42U网络机柜部署，共16节65AH阀控铅酸电池</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1.3</w:t>
            </w:r>
          </w:p>
        </w:tc>
        <w:tc>
          <w:tcPr>
            <w:tcW w:w="766" w:type="dxa"/>
            <w:vAlign w:val="center"/>
          </w:tcPr>
          <w:p>
            <w:r>
              <w:rPr>
                <w:rFonts w:hint="eastAsia"/>
              </w:rPr>
              <w:t>配电线缆</w:t>
            </w:r>
          </w:p>
        </w:tc>
        <w:tc>
          <w:tcPr>
            <w:tcW w:w="4577" w:type="dxa"/>
            <w:vAlign w:val="center"/>
          </w:tcPr>
          <w:p>
            <w:r>
              <w:rPr>
                <w:rFonts w:hint="eastAsia"/>
              </w:rPr>
              <w:t>定制电池线及电缆连接线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vAlign w:val="center"/>
          </w:tcPr>
          <w:p>
            <w:r>
              <w:rPr>
                <w:rFonts w:hint="eastAsia"/>
              </w:rPr>
              <w:t>精密空调系统</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2.1</w:t>
            </w:r>
          </w:p>
        </w:tc>
        <w:tc>
          <w:tcPr>
            <w:tcW w:w="766" w:type="dxa"/>
            <w:vMerge w:val="restart"/>
            <w:vAlign w:val="center"/>
          </w:tcPr>
          <w:p>
            <w:r>
              <w:rPr>
                <w:rFonts w:hint="eastAsia"/>
              </w:rPr>
              <w:t>空调</w:t>
            </w:r>
          </w:p>
        </w:tc>
        <w:tc>
          <w:tcPr>
            <w:tcW w:w="4577" w:type="dxa"/>
            <w:vAlign w:val="center"/>
          </w:tcPr>
          <w:p>
            <w:r>
              <w:rPr>
                <w:rFonts w:hint="eastAsia"/>
              </w:rPr>
              <w:t>1.定频立柜空调，配套室外机。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2.制冷量：12KW</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3.风量：2850m³/H</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4.输入电压：380V-415V</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5.机身重量：110KG</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2.2</w:t>
            </w:r>
          </w:p>
        </w:tc>
        <w:tc>
          <w:tcPr>
            <w:tcW w:w="766" w:type="dxa"/>
            <w:vAlign w:val="center"/>
          </w:tcPr>
          <w:p>
            <w:r>
              <w:rPr>
                <w:rFonts w:hint="eastAsia"/>
              </w:rPr>
              <w:t>空调铜管</w:t>
            </w:r>
          </w:p>
        </w:tc>
        <w:tc>
          <w:tcPr>
            <w:tcW w:w="4577" w:type="dxa"/>
            <w:vAlign w:val="center"/>
          </w:tcPr>
          <w:p>
            <w:r>
              <w:rPr>
                <w:rFonts w:hint="eastAsia"/>
              </w:rPr>
              <w:t>配套铜管件等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vAlign w:val="center"/>
          </w:tcPr>
          <w:p>
            <w:r>
              <w:rPr>
                <w:rFonts w:hint="eastAsia"/>
              </w:rPr>
              <w:t>机柜及综合布线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w:t>
            </w:r>
          </w:p>
        </w:tc>
        <w:tc>
          <w:tcPr>
            <w:tcW w:w="766" w:type="dxa"/>
            <w:vAlign w:val="center"/>
          </w:tcPr>
          <w:p>
            <w:r>
              <w:rPr>
                <w:rFonts w:hint="eastAsia"/>
              </w:rPr>
              <w:t>网络机柜</w:t>
            </w:r>
          </w:p>
        </w:tc>
        <w:tc>
          <w:tcPr>
            <w:tcW w:w="4577" w:type="dxa"/>
            <w:vAlign w:val="center"/>
          </w:tcPr>
          <w:p>
            <w:r>
              <w:rPr>
                <w:rFonts w:hint="eastAsia"/>
              </w:rPr>
              <w:t>2000*600*600mm，42U</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3.2</w:t>
            </w:r>
          </w:p>
        </w:tc>
        <w:tc>
          <w:tcPr>
            <w:tcW w:w="766" w:type="dxa"/>
            <w:vAlign w:val="center"/>
          </w:tcPr>
          <w:p>
            <w:r>
              <w:rPr>
                <w:rFonts w:hint="eastAsia"/>
              </w:rPr>
              <w:t>网格桥架</w:t>
            </w:r>
          </w:p>
        </w:tc>
        <w:tc>
          <w:tcPr>
            <w:tcW w:w="4577" w:type="dxa"/>
            <w:vAlign w:val="center"/>
          </w:tcPr>
          <w:p>
            <w:r>
              <w:rPr>
                <w:rFonts w:hint="eastAsia"/>
              </w:rPr>
              <w:t>不锈钢网格桥架300*150mm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3.3</w:t>
            </w:r>
          </w:p>
        </w:tc>
        <w:tc>
          <w:tcPr>
            <w:tcW w:w="766" w:type="dxa"/>
            <w:vAlign w:val="center"/>
          </w:tcPr>
          <w:p>
            <w:r>
              <w:rPr>
                <w:rFonts w:hint="eastAsia"/>
              </w:rPr>
              <w:t>线缆及其他</w:t>
            </w:r>
          </w:p>
        </w:tc>
        <w:tc>
          <w:tcPr>
            <w:tcW w:w="4577" w:type="dxa"/>
            <w:vAlign w:val="center"/>
          </w:tcPr>
          <w:p>
            <w:r>
              <w:rPr>
                <w:rFonts w:hint="eastAsia"/>
              </w:rPr>
              <w:t>含六类网络电缆、配线架、理线架等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vAlign w:val="center"/>
          </w:tcPr>
          <w:p>
            <w:r>
              <w:rPr>
                <w:rFonts w:hint="eastAsia"/>
              </w:rPr>
              <w:t>气体消防柜及动环监控</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vAlign w:val="center"/>
          </w:tcPr>
          <w:p>
            <w:r>
              <w:rPr>
                <w:rFonts w:hint="eastAsia"/>
              </w:rPr>
              <w:t>柜式七氟丙烷气体装置</w:t>
            </w:r>
          </w:p>
        </w:tc>
        <w:tc>
          <w:tcPr>
            <w:tcW w:w="4577" w:type="dxa"/>
            <w:vAlign w:val="center"/>
          </w:tcPr>
          <w:p>
            <w:r>
              <w:rPr>
                <w:rFonts w:hint="eastAsia"/>
              </w:rPr>
              <w:t>100L，含七氟丙烷气体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vAlign w:val="center"/>
          </w:tcPr>
          <w:p>
            <w:r>
              <w:rPr>
                <w:rFonts w:hint="eastAsia"/>
              </w:rPr>
              <w:t>动环监控系统</w:t>
            </w:r>
          </w:p>
        </w:tc>
        <w:tc>
          <w:tcPr>
            <w:tcW w:w="4577" w:type="dxa"/>
            <w:vAlign w:val="center"/>
          </w:tcPr>
          <w:p>
            <w:r>
              <w:rPr>
                <w:rFonts w:hint="eastAsia"/>
              </w:rPr>
              <w:t>简易配置，实现设备间动力、环境、安防等子系统的集中实时管理，含传感器及线缆敷设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899" w:type="dxa"/>
            <w:gridSpan w:val="3"/>
            <w:vAlign w:val="center"/>
          </w:tcPr>
          <w:p>
            <w:r>
              <w:rPr>
                <w:rFonts w:hint="eastAsia"/>
              </w:rPr>
              <w:t>第二部分：信息机房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一</w:t>
            </w:r>
          </w:p>
        </w:tc>
        <w:tc>
          <w:tcPr>
            <w:tcW w:w="5343" w:type="dxa"/>
            <w:gridSpan w:val="2"/>
            <w:noWrap/>
            <w:vAlign w:val="center"/>
          </w:tcPr>
          <w:p>
            <w:r>
              <w:rPr>
                <w:rFonts w:hint="eastAsia"/>
              </w:rPr>
              <w:t>口岸信息机房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noWrap/>
            <w:vAlign w:val="center"/>
          </w:tcPr>
          <w:p>
            <w:r>
              <w:rPr>
                <w:rFonts w:hint="eastAsia"/>
              </w:rPr>
              <w:t>模块化机柜</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1.1</w:t>
            </w:r>
          </w:p>
        </w:tc>
        <w:tc>
          <w:tcPr>
            <w:tcW w:w="766" w:type="dxa"/>
            <w:vMerge w:val="restart"/>
            <w:noWrap/>
            <w:vAlign w:val="center"/>
          </w:tcPr>
          <w:p>
            <w:r>
              <w:rPr>
                <w:rFonts w:hint="eastAsia"/>
              </w:rPr>
              <w:t>服务器机柜</w:t>
            </w:r>
          </w:p>
        </w:tc>
        <w:tc>
          <w:tcPr>
            <w:tcW w:w="4577" w:type="dxa"/>
            <w:noWrap/>
            <w:vAlign w:val="center"/>
          </w:tcPr>
          <w:p>
            <w:r>
              <w:rPr>
                <w:rFonts w:hint="eastAsia"/>
              </w:rPr>
              <w:t xml:space="preserve">1、服务器机柜尺寸规格（W×D×H）：800mm×1200mm×2000mm，42U，机柜宽800±2（mm），深1200±2（mm），高2000±2(mm)；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2、机柜结构应牢固，箱体及内部钣金件装配结束后结构件不扭曲，紧固件连接应牢固、可靠、无松动，内部可安装层板，且高度可调整，可安装层板，层板可根据立柱的孔位进行调整，并可锁附在U 立柱上；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3、机柜的外观应光洁平整，不得有明显的凹凸不平或机械损伤，不得有裂纹、毛刺、破坏性压痕或严重锈蚀等缺陷，机柜各零部件需要具备相应的防腐或装饰性涂镀层，涂镀层的厚度不小于80微米；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4、▲机柜应采用高强度的冷轧钢板，前后门采用具有良好透风性能网状结构，前门采用单开平板网孔门，后门采用双开平板门，防护等级不低于IP20，主体骨架采用≥2.0mm厚材料，其它≥1.2mm厚材料；机柜通风率不低于75%，开门角度不低于135°，提供同系列机柜第三方检测机构</w:t>
            </w:r>
            <w:r>
              <w:rPr>
                <w:rFonts w:hint="eastAsia"/>
                <w:b/>
                <w:bCs/>
                <w:color w:val="FF0000"/>
                <w:lang w:val="en-US" w:eastAsia="zh-CN"/>
              </w:rPr>
              <w:t>出具</w:t>
            </w:r>
            <w:r>
              <w:rPr>
                <w:rFonts w:hint="eastAsia"/>
                <w:b/>
                <w:bCs/>
                <w:color w:val="FF0000"/>
              </w:rPr>
              <w:t xml:space="preserve">的检测报告；                                                </w:t>
            </w:r>
            <w:r>
              <w:rPr>
                <w:rFonts w:hint="eastAsia"/>
              </w:rPr>
              <w:t xml:space="preserve">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5、机柜需具备有良好的承重能力，静态承重≥2500KG，动态承重≥1500KG；</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6、机柜应支持理线板安装，允许4个理线板同时安装；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7、▲符合中国ROHS认证标准 GB/T26572-2011《电子电气产品中限用物质的限量要求》，机柜及辅件通过电子电气产品中限用物质的限量要求检测，提供第三方检测机构</w:t>
            </w:r>
            <w:r>
              <w:rPr>
                <w:rFonts w:hint="eastAsia"/>
                <w:b/>
                <w:bCs/>
                <w:color w:val="FF0000"/>
                <w:lang w:val="en-US" w:eastAsia="zh-CN"/>
              </w:rPr>
              <w:t>出具</w:t>
            </w:r>
            <w:r>
              <w:rPr>
                <w:rFonts w:hint="eastAsia"/>
                <w:b/>
                <w:bCs/>
                <w:color w:val="FF0000"/>
              </w:rPr>
              <w:t xml:space="preserve">的检测报告；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8、机柜应具备在承载不小于550kg的承重下，满足8、9级烈度抗震能力，提供同系列机柜第三方检测机构</w:t>
            </w:r>
            <w:r>
              <w:rPr>
                <w:rFonts w:hint="eastAsia"/>
                <w:b/>
                <w:bCs/>
                <w:color w:val="FF0000"/>
                <w:lang w:val="en-US" w:eastAsia="zh-CN"/>
              </w:rPr>
              <w:t>出具</w:t>
            </w:r>
            <w:r>
              <w:rPr>
                <w:rFonts w:hint="eastAsia"/>
                <w:b/>
                <w:bCs/>
                <w:color w:val="FF0000"/>
              </w:rPr>
              <w:t xml:space="preserve">的检测报告；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9、机柜需标配2个32A输入24口PDU。</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1.2</w:t>
            </w:r>
          </w:p>
        </w:tc>
        <w:tc>
          <w:tcPr>
            <w:tcW w:w="766" w:type="dxa"/>
            <w:vMerge w:val="restart"/>
            <w:noWrap/>
            <w:vAlign w:val="center"/>
          </w:tcPr>
          <w:p>
            <w:r>
              <w:rPr>
                <w:rFonts w:hint="eastAsia"/>
              </w:rPr>
              <w:t>密闭通道组件</w:t>
            </w:r>
          </w:p>
        </w:tc>
        <w:tc>
          <w:tcPr>
            <w:tcW w:w="4577" w:type="dxa"/>
            <w:noWrap/>
            <w:vAlign w:val="center"/>
          </w:tcPr>
          <w:p>
            <w:r>
              <w:rPr>
                <w:rFonts w:hint="eastAsia"/>
              </w:rPr>
              <w:t>1、微模块的端门应含前后端2个自动平移门，可通过人脸识别门禁自动打开；</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2、端门可通过人脸识别门禁自动打开，端门采用厚防爆钢化玻璃，全玻璃设计，端门玻璃可视化占比达98%以上，提供照片及第三方检测机构</w:t>
            </w:r>
            <w:r>
              <w:rPr>
                <w:rFonts w:hint="eastAsia"/>
                <w:b/>
                <w:bCs/>
                <w:color w:val="FF0000"/>
                <w:lang w:val="en-US" w:eastAsia="zh-CN"/>
              </w:rPr>
              <w:t>出具</w:t>
            </w:r>
            <w:r>
              <w:rPr>
                <w:rFonts w:hint="eastAsia"/>
                <w:b/>
                <w:bCs/>
                <w:color w:val="FF0000"/>
              </w:rPr>
              <w:t>的检测报告；</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3、冷通道端门标配门楣点状氛围灯，支持人体感应开关控制。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4、支持10寸触摸屏安装，冷通道显示屏安装面板满足独立悬挂安装，可快速翻转，便捷维护。</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5、▲微模块冷通道通过8级烈度以上结构抗震测试，报告中体现冷通道的结构，需包含通道玻璃门、机柜、天窗基本结构，需提供第三方检测机构</w:t>
            </w:r>
            <w:r>
              <w:rPr>
                <w:rFonts w:hint="eastAsia"/>
                <w:b/>
                <w:bCs/>
                <w:color w:val="FF0000"/>
                <w:lang w:val="en-US" w:eastAsia="zh-CN"/>
              </w:rPr>
              <w:t>出具</w:t>
            </w:r>
            <w:r>
              <w:rPr>
                <w:rFonts w:hint="eastAsia"/>
                <w:b/>
                <w:bCs/>
                <w:color w:val="FF0000"/>
              </w:rPr>
              <w:t>的检测报告。</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6、冷通道端门支持门框U型RGB全彩状态显示灯，灯光颜色可现场设置，实现不少于3级告警联动；</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1.3</w:t>
            </w:r>
          </w:p>
        </w:tc>
        <w:tc>
          <w:tcPr>
            <w:tcW w:w="766" w:type="dxa"/>
            <w:vMerge w:val="restart"/>
            <w:noWrap/>
            <w:vAlign w:val="center"/>
          </w:tcPr>
          <w:p>
            <w:r>
              <w:rPr>
                <w:rFonts w:hint="eastAsia"/>
              </w:rPr>
              <w:t>配电柜</w:t>
            </w:r>
          </w:p>
        </w:tc>
        <w:tc>
          <w:tcPr>
            <w:tcW w:w="4577" w:type="dxa"/>
            <w:vAlign w:val="center"/>
          </w:tcPr>
          <w:p>
            <w:r>
              <w:rPr>
                <w:rFonts w:hint="eastAsia"/>
              </w:rPr>
              <w:t>一体化配电柜机架-600mm(W)*1200mm(D)*2000mm(H)，内置IT配电模块</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1、▲采用19英寸42U标准机柜，柜体尺寸（宽*深*高）600*1200*2000mm；配电柜柜体采用冷轧钢板；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2、配电输入：双路MCCB输入，额定电流200A/3P；</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3、IT配电输出：2路IT配电，每路支持单相24路输出32A/1P，满足2N配电架构；标配输出接线排；</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4、断路器；精密配电柜中所使用的断路器为ABB、施耐德或同等级品牌产品。其中63A及以下采用小型断路器，＞63A采用塑壳断路器。</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5、电源防雷器：配电柜配置C级防雷器,其泄放电流能力根据招标要求，响应时间25ns，残压≤1.8kV(C级)，防雷器配置前端断路器保护。</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6、监控及检测装置：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1)三相智能采集单元：采用多功能电力仪表，所有器件包括仪表安置在门内，有隔离挡板遮挡，带485通讯接口输出。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2)液晶触摸屏：采用≥7寸LCD触摸屏，彩色显示，高速刷新数据，标配RS485接口/232，提供Modbus通信协议。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3)检测单元：采用高精度的主回路检测模块和支路电力参数检测模块。可显示三相电流，电压，有功功率，无功功率，视在功率，频率，负载，主回路全电量，支路电流、支路电压，故障报警和记录功能。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4)普通互感器采用精度0.5级，二次电流5A；精密互感器采用精度0.2级，支路电流互感器10mA。</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5)具备主路及支路电流阀值报警功能，阀值可调节。</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6)具备主路开关状态，防雷器报警状态检测。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7、需提供投标产品的同系列精密配电柜的8、9烈度第三方抗震报告</w:t>
            </w:r>
            <w:r>
              <w:rPr>
                <w:rFonts w:hint="eastAsia"/>
                <w:b/>
                <w:bCs/>
                <w:color w:val="FF0000"/>
                <w:lang w:val="en-US" w:eastAsia="zh-CN"/>
              </w:rPr>
              <w:t>扫描件，原件备查</w:t>
            </w:r>
            <w:r>
              <w:rPr>
                <w:rFonts w:hint="eastAsia"/>
                <w:b/>
                <w:bCs/>
                <w:color w:val="FF0000"/>
                <w:lang w:eastAsia="zh-CN"/>
              </w:rPr>
              <w:t>；</w:t>
            </w:r>
            <w:r>
              <w:rPr>
                <w:rFonts w:hint="eastAsia"/>
              </w:rPr>
              <w:t xml:space="preserve">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1.4</w:t>
            </w:r>
          </w:p>
        </w:tc>
        <w:tc>
          <w:tcPr>
            <w:tcW w:w="766" w:type="dxa"/>
            <w:vMerge w:val="restart"/>
            <w:noWrap/>
            <w:vAlign w:val="center"/>
          </w:tcPr>
          <w:p>
            <w:r>
              <w:rPr>
                <w:rFonts w:hint="eastAsia"/>
              </w:rPr>
              <w:t>精密空调1</w:t>
            </w:r>
          </w:p>
        </w:tc>
        <w:tc>
          <w:tcPr>
            <w:tcW w:w="4577" w:type="dxa"/>
            <w:vAlign w:val="center"/>
          </w:tcPr>
          <w:p>
            <w:r>
              <w:rPr>
                <w:rFonts w:hint="eastAsia"/>
              </w:rPr>
              <w:t>≥25kw制冷量，水平送风-上下走管-双路供电-加热加湿，配套室外机。</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1、▲空调内机尺寸为宽*深*高：300*1200*2000mm，要求室内侧温度 37℃，室外侧温度35°C工况下，制冷量应≥25kw，显热比应≥0.95，并且机组制冷能效比应大于3.5，需提供第三方测试报告</w:t>
            </w:r>
            <w:r>
              <w:rPr>
                <w:rFonts w:hint="eastAsia"/>
                <w:b/>
                <w:bCs/>
                <w:color w:val="FF0000"/>
                <w:lang w:val="en-US" w:eastAsia="zh-CN"/>
              </w:rPr>
              <w:t>扫描件，原件备查</w:t>
            </w:r>
            <w:r>
              <w:rPr>
                <w:rFonts w:hint="eastAsia"/>
                <w:b/>
                <w:bCs/>
                <w:color w:val="FF0000"/>
              </w:rPr>
              <w:t>，报告指标需具有（实测工况、制冷量、显热制冷量、风量、能效比、噪音）指标；</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2、标配加热功能、加湿功能，风量需≥5000m3/h，加湿量需≥1.5kg/h，加热量需≥3kw；</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3、为保证可靠性并减少空调的风机维护工作，EC风机应采用N+1冗余配置，风机数量不小于6个，任意风机故障，仍可确保全风量运行；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4、▲空调机组应采用低功的耗湿膜加湿方式，节能省电，适用范围广，同时在加湿过程中无需消耗功率，需提供第三方测试报告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5、要求采用直流变频压缩机，要求压缩机具有较高的能效比，且冷量输出可实现20%-100%连续调节；</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6、应选用高效内螺纹“V”型大面积蒸发器，保障换热效率；室外风机应可根据室外温度及冷量需求变频调速，减少风机能耗；空调应配置可多次清洗及在线更换的空气过滤器，需配置G4等级或以上滤网。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7、▲膨胀阀：为保证系统运行的高效性和稳定性，空调需要求标配双电子膨胀阀（两个电子膨胀阀），需提供第三方测试报告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8、空调具备容错保护功能，输入缺相、错相时，具备相序告警保护功能；</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9、精密空调应具有低载除湿能力，室内低负载的情况下能够稳定除湿功能；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10、精密空调应采用≥ 7英寸全中文彩色触摸屏，用于图形显示机组内各组件的运行状态的功能，屏幕事件记录数量不少于 1000 条 ；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11、为保证精密空调可靠性及安全性，机组应支持制冷剂泄露或灌注量不足告警，需提供第三方测试报告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12、精密空调应标配RS485接口，控制系统支持micro USB和USB端口的运维功能，同时具有与消防联动的干接点。当空调收到消防联动信号时，空调可立即自动停机，需提供第三方测试报告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★13、须提供投标产品的中国节能产品认证证书</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14、提供投标机组的CRAA产品认证证书</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1.5</w:t>
            </w:r>
          </w:p>
        </w:tc>
        <w:tc>
          <w:tcPr>
            <w:tcW w:w="766" w:type="dxa"/>
            <w:vMerge w:val="restart"/>
            <w:noWrap/>
            <w:vAlign w:val="center"/>
          </w:tcPr>
          <w:p>
            <w:r>
              <w:rPr>
                <w:rFonts w:hint="eastAsia"/>
              </w:rPr>
              <w:t>监控组件</w:t>
            </w:r>
          </w:p>
        </w:tc>
        <w:tc>
          <w:tcPr>
            <w:tcW w:w="4577" w:type="dxa"/>
            <w:noWrap/>
            <w:vAlign w:val="center"/>
          </w:tcPr>
          <w:p>
            <w:r>
              <w:rPr>
                <w:rFonts w:hint="eastAsia"/>
              </w:rPr>
              <w:t>1、监控主机具备支持双网卡工作模式；</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2、▲监控主机支持≥10000测点量和≥10W条历史纪录的存储，10个以上web端访问；</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3、▲为了保证信息安全，提供的监控主机及系统具备多种的安全设计验证，提供第三方检测机构</w:t>
            </w:r>
            <w:r>
              <w:rPr>
                <w:rFonts w:hint="eastAsia"/>
                <w:b/>
                <w:bCs/>
                <w:color w:val="FF0000"/>
                <w:lang w:val="en-US" w:eastAsia="zh-CN"/>
              </w:rPr>
              <w:t>出具</w:t>
            </w:r>
            <w:r>
              <w:rPr>
                <w:rFonts w:hint="eastAsia"/>
                <w:b/>
                <w:bCs/>
                <w:color w:val="FF0000"/>
              </w:rPr>
              <w:t>的检测机构的报告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4、▲微模块监控系统需供自主研发软件著作权。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5、软件系统应采用Linux操作系统，支持B/S或C/S架构，可在网络的任何位置，均能够通过浏览器进行实时访问。</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6、▲为接入第三方集控平台，要求监控系统提供断点续传功能，在集控平台和网络出现故障时，能保持本地存储，并在故障恢复后，将保存的数据同步到集控平台，提供</w:t>
            </w:r>
            <w:r>
              <w:rPr>
                <w:rFonts w:hint="eastAsia"/>
                <w:b/>
                <w:bCs/>
                <w:color w:val="FF0000"/>
                <w:lang w:val="en-US" w:eastAsia="zh-CN"/>
              </w:rPr>
              <w:t>产品</w:t>
            </w:r>
            <w:r>
              <w:rPr>
                <w:rFonts w:hint="eastAsia"/>
                <w:b/>
                <w:bCs/>
                <w:color w:val="FF0000"/>
              </w:rPr>
              <w:t>彩页或原理说明。</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7、微模块监控系统可监控的设备（包括但不限于以下功能）：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1）支持配电柜市电电压，电流，频率，有功、无功、视在功率，电量等检测，并具备图表方式展示功能；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2）支持UPS主输入电压、电流、频率，UPS旁路输入电压、电流、频率，UPS输出电压、电流、频率，电池电压、充放电电流、后备时间等，并具备图表方式展示功能；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rPr>
              <w:t>3）支持精密配电柜的主路、支路的电压、电流、开关状态检测，并支持生成配电拓扑图，在拓扑图上显示各开关状态和电流信息，提供</w:t>
            </w:r>
            <w:r>
              <w:rPr>
                <w:rFonts w:hint="eastAsia"/>
                <w:b/>
                <w:bCs/>
                <w:color w:val="FF0000"/>
                <w:lang w:val="en-US" w:eastAsia="zh-CN"/>
              </w:rPr>
              <w:t>产品</w:t>
            </w:r>
            <w:r>
              <w:rPr>
                <w:rFonts w:hint="eastAsia"/>
                <w:b/>
                <w:bCs/>
                <w:color w:val="FF0000"/>
              </w:rPr>
              <w:t>界面截图证明。</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4）支持空调回送风情况、运行状况，空调各部件（如压缩机、风机、加热器、加湿器、去湿器、滤网等）的运行状态与参数。</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5）温湿度系统：监控微模块温湿度情况，当出现阈值越限时，输出告警信息。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6）感烟系统：监测微模块烟雾状态，当出现告警时，输出告警信息，并联动天窗翻转和门禁常开；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7）水浸系统：监测空调及水管周围漏水情况，当漏水感应线检测到漏水后，输出输出告警信息；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8）门禁系统：监测机房门和通道门的进出记录和门禁状态。支持人脸、指纹、刷卡、密码等多种开门认证方式，支持单向或双向刷卡开门方式。门禁控制系统支持带断电开门、消防告警时自动开门。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9）视频功能：在机房出入口、冷通道内等区域安装摄像机，进行全天候的视频图像监视，要求软件集成接入，不允许通过web超链接的方式接入。</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8、动环监控发现部件故障或参数异常，可立即通过E-mail、短信（或电话）、声光告警和语音告警等多种报警方式告知运维人员，记录历史数据和报警事件。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9、▲监控界面支持基于微模块现场布置，生成对应的3D模型,模型支持放大、缩小、适屏、旋转操作，提供</w:t>
            </w:r>
            <w:r>
              <w:rPr>
                <w:rFonts w:hint="eastAsia"/>
                <w:b/>
                <w:bCs/>
                <w:color w:val="FF0000"/>
                <w:lang w:val="en-US" w:eastAsia="zh-CN"/>
              </w:rPr>
              <w:t>产品</w:t>
            </w:r>
            <w:r>
              <w:rPr>
                <w:rFonts w:hint="eastAsia"/>
                <w:b/>
                <w:bCs/>
                <w:color w:val="FF0000"/>
              </w:rPr>
              <w:t>界面截图证明。</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10、支持历史数据、事件记录灵活选择时间、等级、状态等条件展示和导出数据；支持事件记录统计分析设备运行健康状况，并通过曲线、图表等方式直观展现；支持历史数据、告警事件报表自定义配置，数据统计方式支持平均值、极大值、极小值、标准差等，图表展示方式支持柱图、曲线图等。</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11、告警功能：支持用户自定义设置阈值和告警条件，当有故障或参数异常，系统会实时告警；告警级别默认分为4级，可支持7个级别设置；告警内容包含事件的告警开始时间、告警结束时间、告警设备、告警内容、确认人信息；在设备详情页中自动高亮显示告警测点；用户自定义设置告警推送方式、推送人员、推送规则，提供</w:t>
            </w:r>
            <w:r>
              <w:rPr>
                <w:rFonts w:hint="eastAsia"/>
                <w:b/>
                <w:bCs/>
                <w:color w:val="FF0000"/>
                <w:lang w:val="en-US" w:eastAsia="zh-CN"/>
              </w:rPr>
              <w:t>产品</w:t>
            </w:r>
            <w:r>
              <w:rPr>
                <w:rFonts w:hint="eastAsia"/>
                <w:b/>
                <w:bCs/>
                <w:color w:val="FF0000"/>
              </w:rPr>
              <w:t>界面截图证明。</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12、支持用户自定义配置PUE、CLF、PLF、ALF等计算公式，实时统计分析计算值，并可通过图、表形式展示和数据导出；</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1.6</w:t>
            </w:r>
          </w:p>
        </w:tc>
        <w:tc>
          <w:tcPr>
            <w:tcW w:w="766" w:type="dxa"/>
            <w:noWrap/>
            <w:vAlign w:val="center"/>
          </w:tcPr>
          <w:p>
            <w:r>
              <w:rPr>
                <w:rFonts w:hint="eastAsia"/>
              </w:rPr>
              <w:t>成套线缆</w:t>
            </w:r>
          </w:p>
        </w:tc>
        <w:tc>
          <w:tcPr>
            <w:tcW w:w="4577" w:type="dxa"/>
            <w:vAlign w:val="center"/>
          </w:tcPr>
          <w:p>
            <w:r>
              <w:rPr>
                <w:rFonts w:hint="eastAsia"/>
              </w:rPr>
              <w:t>微模块各个部件之间的功率线缆、信号线缆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noWrap/>
            <w:vAlign w:val="center"/>
          </w:tcPr>
          <w:p>
            <w:r>
              <w:rPr>
                <w:rFonts w:hint="eastAsia"/>
              </w:rPr>
              <w:t>供配电、UPS、空调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2.1</w:t>
            </w:r>
          </w:p>
        </w:tc>
        <w:tc>
          <w:tcPr>
            <w:tcW w:w="766" w:type="dxa"/>
            <w:noWrap/>
            <w:vAlign w:val="center"/>
          </w:tcPr>
          <w:p>
            <w:r>
              <w:rPr>
                <w:rFonts w:hint="eastAsia"/>
              </w:rPr>
              <w:t>市电总配电柜</w:t>
            </w:r>
          </w:p>
        </w:tc>
        <w:tc>
          <w:tcPr>
            <w:tcW w:w="4577" w:type="dxa"/>
            <w:vAlign w:val="center"/>
          </w:tcPr>
          <w:p>
            <w:r>
              <w:rPr>
                <w:rFonts w:hint="eastAsia"/>
              </w:rPr>
              <w:t>含柜体、ATS切换开关、塑壳开关、电量仪、保护开关等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2.2</w:t>
            </w:r>
          </w:p>
        </w:tc>
        <w:tc>
          <w:tcPr>
            <w:tcW w:w="766" w:type="dxa"/>
            <w:noWrap/>
            <w:vAlign w:val="center"/>
          </w:tcPr>
          <w:p>
            <w:r>
              <w:rPr>
                <w:rFonts w:hint="eastAsia"/>
              </w:rPr>
              <w:t>UPS输出柜</w:t>
            </w:r>
          </w:p>
        </w:tc>
        <w:tc>
          <w:tcPr>
            <w:tcW w:w="4577" w:type="dxa"/>
            <w:vAlign w:val="center"/>
          </w:tcPr>
          <w:p>
            <w:r>
              <w:rPr>
                <w:rFonts w:hint="eastAsia"/>
              </w:rPr>
              <w:t>含柜体、电量仪、塑壳开关、微断开关、保护开关等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2.3</w:t>
            </w:r>
          </w:p>
        </w:tc>
        <w:tc>
          <w:tcPr>
            <w:tcW w:w="766" w:type="dxa"/>
            <w:noWrap/>
            <w:vAlign w:val="center"/>
          </w:tcPr>
          <w:p>
            <w:r>
              <w:rPr>
                <w:rFonts w:hint="eastAsia"/>
              </w:rPr>
              <w:t>电力电缆</w:t>
            </w:r>
          </w:p>
        </w:tc>
        <w:tc>
          <w:tcPr>
            <w:tcW w:w="4577" w:type="dxa"/>
            <w:vAlign w:val="center"/>
          </w:tcPr>
          <w:p>
            <w:r>
              <w:rPr>
                <w:rFonts w:hint="eastAsia"/>
              </w:rPr>
              <w:t>含主输入端电缆、输出电缆等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2.4</w:t>
            </w:r>
          </w:p>
        </w:tc>
        <w:tc>
          <w:tcPr>
            <w:tcW w:w="766" w:type="dxa"/>
            <w:vMerge w:val="restart"/>
            <w:noWrap/>
            <w:vAlign w:val="center"/>
          </w:tcPr>
          <w:p>
            <w:r>
              <w:rPr>
                <w:rFonts w:hint="eastAsia"/>
              </w:rPr>
              <w:t>机房用UPS系统</w:t>
            </w:r>
          </w:p>
        </w:tc>
        <w:tc>
          <w:tcPr>
            <w:tcW w:w="4577" w:type="dxa"/>
            <w:noWrap/>
            <w:vAlign w:val="center"/>
          </w:tcPr>
          <w:p>
            <w:r>
              <w:rPr>
                <w:rFonts w:hint="eastAsia"/>
              </w:rPr>
              <w:t xml:space="preserve">1、UPS应采用模块化设计，机框容量不低于120KVA，为节省空间，UPS主机应尽可能较少占地面积，尺寸不应大于600*860*2000mm（宽*深*高）；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2、▲UPS功率模块应≥25KVA，旁路模块与功率模块均应并持热插拔功能；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3、为避免分散旁路出现电流不均衡、不可控引起故障，模块化UPS采用集中旁路；且要求旁路具有独立接线和开关控制，提高供电可靠性；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4、支持智能ECO模式，在ECO旁路供电的基础上优化电网质量，功率模块能对旁路电进行谐波补偿，提高旁路可靠性；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5、输入电压范围：输入电压138V～485V ，输入电压宽，适应恶劣电网环境；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6、模块化UPS应具备智能发电机管理功能：当市电停电，应可启用发电机智能管理，可由UPS设置界面进行管理；当发电机额定输出功率不足时，允许在UPS管理界面重新定义发电机的输出功率，由ups自主管理，确保UPS输出不间断，即可降低发电机过大容量配置，又可降低用户投资成本。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7、电池电压范围：直流电压±168～±276V 、电池可调范围大，现场配置灵活；提供</w:t>
            </w:r>
            <w:r>
              <w:rPr>
                <w:rFonts w:hint="eastAsia"/>
                <w:b/>
                <w:bCs/>
                <w:color w:val="FF0000"/>
                <w:lang w:val="en-US" w:eastAsia="zh-CN"/>
              </w:rPr>
              <w:t>产品</w:t>
            </w:r>
            <w:r>
              <w:rPr>
                <w:rFonts w:hint="eastAsia"/>
                <w:b/>
                <w:bCs/>
                <w:color w:val="FF0000"/>
              </w:rPr>
              <w:t>彩页证明材料</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8、UPS应有比较高的整机效率，在30%负载下，效率应不低于95%，在50%负载下，效率应不低于96%，输出功率因数1，提供第三方检测机构</w:t>
            </w:r>
            <w:r>
              <w:rPr>
                <w:rFonts w:hint="eastAsia"/>
                <w:b/>
                <w:bCs/>
                <w:color w:val="FF0000"/>
                <w:lang w:val="en-US" w:eastAsia="zh-CN"/>
              </w:rPr>
              <w:t>出具</w:t>
            </w:r>
            <w:r>
              <w:rPr>
                <w:rFonts w:hint="eastAsia"/>
                <w:b/>
                <w:bCs/>
                <w:color w:val="FF0000"/>
              </w:rPr>
              <w:t>的检测报告</w:t>
            </w:r>
            <w:r>
              <w:rPr>
                <w:rFonts w:hint="eastAsia"/>
                <w:b/>
                <w:bCs/>
                <w:color w:val="FF0000"/>
                <w:lang w:val="en-US" w:eastAsia="zh-CN"/>
              </w:rPr>
              <w:t>扫描件，原件备查</w:t>
            </w:r>
            <w:r>
              <w:rPr>
                <w:rFonts w:hint="eastAsia"/>
                <w:b/>
                <w:bCs/>
                <w:color w:val="FF0000"/>
              </w:rPr>
              <w:t xml:space="preserve">；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9、模块化主机智能化管理：器件失效预告警功能，可记录更换备品备件的种类、日期与ID，实现备品备件的资产追溯与管理，提供智能化设备的轻松管理；减少运维工作。</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 xml:space="preserve">10、模块化UPS具备除尘告警，当设备运行周期较长或设备积尘过多时，UPS启动自动除尘功能，防范未然，提高供电可靠性。提供针对该功能设置界面的照片证明材料；   </w:t>
            </w:r>
            <w:r>
              <w:rPr>
                <w:rFonts w:hint="eastAsia"/>
              </w:rPr>
              <w:t xml:space="preserve">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11、模块化ups支持多机并联，应采用无主从并联技术，确保安全可靠，可多台扩容并联或N+X并联冗余。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 xml:space="preserve">12、▲中文≥7英寸触摸大液晶屏，具有LCD+LED指示的操作界面，实时记录工作状态和运行信息，管理更加直观；操作界面要求配备手动开关机按钮，同时开关机按键采用双键组合设计，确保在触摸屏失效时依然可以开关机操作也防止客户出现误操作得行为，提高了设备可靠性。提供设备照片证明材料；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 xml:space="preserve">13、▲具有智能录波功能，当UPS设备故障时，完整记录故障发生瞬间，有助于故障诊断和快速故障定位，方便现场分析，提高维护工作效率；提供针对该功能设置界面的照片证明材料。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14、主机近端标配EPO按钮，同时具备远程干接点接口，灵活使用，确保现场紧急状况下能够快速断电，保护设备安全。提供设备照片证明材料；</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15、自老化功能：具备自老化功能，有效解决现场调试及老化的负载问题，减少投资；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16、▲UPS应通过泰尔认证、具备绿色之星认证，提供该型号UPS泰尔认证、绿色之星认证证书</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556" w:type="dxa"/>
            <w:vMerge w:val="restart"/>
            <w:noWrap/>
            <w:vAlign w:val="center"/>
          </w:tcPr>
          <w:p>
            <w:r>
              <w:rPr>
                <w:rFonts w:hint="eastAsia"/>
              </w:rPr>
              <w:t>2.5</w:t>
            </w:r>
          </w:p>
        </w:tc>
        <w:tc>
          <w:tcPr>
            <w:tcW w:w="766" w:type="dxa"/>
            <w:vMerge w:val="restart"/>
            <w:noWrap/>
            <w:vAlign w:val="center"/>
          </w:tcPr>
          <w:p>
            <w:r>
              <w:rPr>
                <w:rFonts w:hint="eastAsia"/>
              </w:rPr>
              <w:t>蓄电池</w:t>
            </w:r>
          </w:p>
        </w:tc>
        <w:tc>
          <w:tcPr>
            <w:tcW w:w="4577" w:type="dxa"/>
            <w:noWrap/>
            <w:vAlign w:val="center"/>
          </w:tcPr>
          <w:p>
            <w:pPr>
              <w:rPr>
                <w:rFonts w:hint="eastAsia"/>
                <w:b/>
                <w:bCs/>
                <w:color w:val="FF0000"/>
              </w:rPr>
            </w:pPr>
            <w:r>
              <w:rPr>
                <w:rFonts w:hint="eastAsia"/>
                <w:b/>
                <w:bCs/>
                <w:color w:val="FF0000"/>
              </w:rPr>
              <w:t>1、200AH/12V，铅酸蓄电池；</w:t>
            </w:r>
          </w:p>
          <w:p>
            <w:pPr>
              <w:rPr>
                <w:rFonts w:hint="eastAsia"/>
                <w:b/>
                <w:bCs/>
                <w:color w:val="FF0000"/>
              </w:rPr>
            </w:pPr>
            <w:r>
              <w:rPr>
                <w:rFonts w:hint="eastAsia"/>
                <w:b/>
                <w:bCs/>
                <w:color w:val="FF0000"/>
              </w:rPr>
              <w:t>2、产品工作条件要求：蓄电池产品应能在温度:-15~+50℃条件下工作。</w:t>
            </w:r>
          </w:p>
          <w:p>
            <w:pPr>
              <w:rPr>
                <w:rFonts w:hint="eastAsia"/>
                <w:b/>
                <w:bCs/>
                <w:color w:val="FF0000"/>
              </w:rPr>
            </w:pPr>
            <w:r>
              <w:rPr>
                <w:rFonts w:hint="eastAsia"/>
                <w:b/>
                <w:bCs/>
                <w:color w:val="FF0000"/>
              </w:rPr>
              <w:t>3、蓄电池安全阀开阀压力应满足范围:10~25kPa，闭阀压力应满足范围:10~20kPa；</w:t>
            </w:r>
          </w:p>
          <w:p>
            <w:pPr>
              <w:rPr>
                <w:rFonts w:hint="eastAsia"/>
                <w:b/>
                <w:bCs/>
                <w:color w:val="FF0000"/>
              </w:rPr>
            </w:pPr>
            <w:r>
              <w:rPr>
                <w:rFonts w:hint="eastAsia"/>
                <w:b/>
                <w:bCs/>
                <w:color w:val="FF0000"/>
              </w:rPr>
              <w:t>4、密封反应效率要求:蓄电池密封反应效率应不低于 97%；</w:t>
            </w:r>
          </w:p>
          <w:p>
            <w:pPr>
              <w:rPr>
                <w:rFonts w:hint="eastAsia"/>
                <w:b/>
                <w:bCs/>
                <w:color w:val="FF0000"/>
              </w:rPr>
            </w:pPr>
            <w:r>
              <w:rPr>
                <w:rFonts w:hint="eastAsia"/>
                <w:b/>
                <w:bCs/>
                <w:color w:val="FF0000"/>
              </w:rPr>
              <w:t>5、容量保存率要求：蓄电池封置28天后，其容量保存率应不低于97%；</w:t>
            </w:r>
          </w:p>
          <w:p>
            <w:pPr>
              <w:rPr>
                <w:rFonts w:hint="eastAsia"/>
                <w:b/>
                <w:bCs/>
                <w:color w:val="FF0000"/>
              </w:rPr>
            </w:pPr>
            <w:r>
              <w:rPr>
                <w:rFonts w:hint="eastAsia"/>
                <w:b/>
                <w:bCs/>
                <w:color w:val="FF0000"/>
              </w:rPr>
              <w:t>6、容量一致性：同组蓄电池10小时率容量试验时，最大实际容量与最小实际容量差值≤3.5%；</w:t>
            </w:r>
          </w:p>
          <w:p>
            <w:pPr>
              <w:rPr>
                <w:rFonts w:hint="eastAsia"/>
                <w:b/>
                <w:bCs/>
                <w:color w:val="FF0000"/>
              </w:rPr>
            </w:pPr>
            <w:r>
              <w:rPr>
                <w:rFonts w:hint="eastAsia"/>
                <w:b/>
                <w:bCs/>
                <w:color w:val="FF0000"/>
              </w:rPr>
              <w:t>7、电池间连续压降：5.5I10放电条件下，△U应≤6mV；</w:t>
            </w:r>
          </w:p>
          <w:p>
            <w:pPr>
              <w:rPr>
                <w:rFonts w:hint="eastAsia"/>
                <w:b/>
                <w:bCs/>
                <w:color w:val="FF0000"/>
              </w:rPr>
            </w:pPr>
            <w:r>
              <w:rPr>
                <w:rFonts w:hint="eastAsia"/>
                <w:b/>
                <w:bCs/>
                <w:color w:val="FF0000"/>
              </w:rPr>
              <w:t>8、 要求满足以上1-7条款参数，提供同系列电池</w:t>
            </w:r>
            <w:r>
              <w:rPr>
                <w:rFonts w:hint="eastAsia"/>
                <w:b/>
                <w:bCs/>
                <w:color w:val="FF0000"/>
                <w:lang w:val="en-US" w:eastAsia="zh-CN"/>
              </w:rPr>
              <w:t>由</w:t>
            </w:r>
            <w:r>
              <w:rPr>
                <w:rFonts w:hint="eastAsia"/>
                <w:b/>
                <w:bCs/>
                <w:color w:val="FF0000"/>
              </w:rPr>
              <w:t>第三方检测机构</w:t>
            </w:r>
            <w:r>
              <w:rPr>
                <w:rFonts w:hint="eastAsia"/>
                <w:b/>
                <w:bCs/>
                <w:color w:val="FF0000"/>
                <w:lang w:val="en-US" w:eastAsia="zh-CN"/>
              </w:rPr>
              <w:t>出具</w:t>
            </w:r>
            <w:r>
              <w:rPr>
                <w:rFonts w:hint="eastAsia"/>
                <w:b/>
                <w:bCs/>
                <w:color w:val="FF0000"/>
              </w:rPr>
              <w:t>的检测报告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9、蓄电池按照YD 5083-2005《电信设备抗地震性能检测规范》及YD/T 5096-2016《通信用电源设备抗地震性能检测规范》经8、9烈度抗地震检测后评定为合格。</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2.6</w:t>
            </w:r>
          </w:p>
        </w:tc>
        <w:tc>
          <w:tcPr>
            <w:tcW w:w="766" w:type="dxa"/>
            <w:noWrap/>
            <w:vAlign w:val="center"/>
          </w:tcPr>
          <w:p>
            <w:r>
              <w:rPr>
                <w:rFonts w:hint="eastAsia"/>
              </w:rPr>
              <w:t>电池柜及电源线</w:t>
            </w:r>
          </w:p>
        </w:tc>
        <w:tc>
          <w:tcPr>
            <w:tcW w:w="4577" w:type="dxa"/>
            <w:vAlign w:val="center"/>
          </w:tcPr>
          <w:p>
            <w:r>
              <w:rPr>
                <w:rFonts w:hint="eastAsia"/>
              </w:rPr>
              <w:t>定制，规格1200*1100mm，含电池柜配套线缆辅料</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restart"/>
            <w:noWrap/>
            <w:vAlign w:val="center"/>
          </w:tcPr>
          <w:p>
            <w:r>
              <w:rPr>
                <w:rFonts w:hint="eastAsia"/>
              </w:rPr>
              <w:t>2.7</w:t>
            </w:r>
          </w:p>
        </w:tc>
        <w:tc>
          <w:tcPr>
            <w:tcW w:w="766" w:type="dxa"/>
            <w:vMerge w:val="restart"/>
            <w:noWrap/>
            <w:vAlign w:val="center"/>
          </w:tcPr>
          <w:p>
            <w:r>
              <w:rPr>
                <w:rFonts w:hint="eastAsia"/>
              </w:rPr>
              <w:t>精密空调2</w:t>
            </w:r>
          </w:p>
        </w:tc>
        <w:tc>
          <w:tcPr>
            <w:tcW w:w="4577" w:type="dxa"/>
            <w:noWrap/>
            <w:vAlign w:val="center"/>
          </w:tcPr>
          <w:p>
            <w:r>
              <w:rPr>
                <w:rFonts w:hint="eastAsia"/>
                <w:b/>
                <w:bCs/>
                <w:color w:val="FF0000"/>
              </w:rPr>
              <w:t>1、▲风冷型房间级精密空调，上送风，制冷量≥12.5kW，显热制冷量≥11.3kW，风量≥3600m3/h，能效比≥3.0（工况：室内侧回风干球温度24℃（等同于湿球温度17℃）的条件下测得；室外侧（放热侧）干球温度35℃下测得），需提供投标产品同系列产品在该工况下</w:t>
            </w:r>
            <w:r>
              <w:rPr>
                <w:rFonts w:hint="eastAsia"/>
                <w:b/>
                <w:bCs/>
                <w:color w:val="FF0000"/>
                <w:lang w:val="en-US" w:eastAsia="zh-CN"/>
              </w:rPr>
              <w:t>由</w:t>
            </w:r>
            <w:r>
              <w:rPr>
                <w:rFonts w:hint="eastAsia"/>
                <w:b/>
                <w:bCs/>
                <w:color w:val="FF0000"/>
              </w:rPr>
              <w:t>第三方机构</w:t>
            </w:r>
            <w:r>
              <w:rPr>
                <w:rFonts w:hint="eastAsia"/>
                <w:b/>
                <w:bCs/>
                <w:color w:val="FF0000"/>
                <w:lang w:val="en-US" w:eastAsia="zh-CN"/>
              </w:rPr>
              <w:t>出具的</w:t>
            </w:r>
            <w:r>
              <w:rPr>
                <w:rFonts w:hint="eastAsia"/>
                <w:b/>
                <w:bCs/>
                <w:color w:val="FF0000"/>
              </w:rPr>
              <w:t>性能测试报告</w:t>
            </w:r>
            <w:r>
              <w:rPr>
                <w:rFonts w:hint="eastAsia"/>
                <w:b/>
                <w:bCs/>
                <w:color w:val="FF0000"/>
                <w:lang w:val="en-US" w:eastAsia="zh-CN"/>
              </w:rPr>
              <w:t>扫描件，原件备查</w:t>
            </w:r>
            <w:r>
              <w:rPr>
                <w:rFonts w:hint="eastAsia"/>
                <w:b/>
                <w:bCs/>
                <w:color w:val="FF0000"/>
              </w:rPr>
              <w:t xml:space="preserve">；       </w:t>
            </w:r>
            <w:r>
              <w:rPr>
                <w:rFonts w:hint="eastAsia"/>
              </w:rPr>
              <w:t xml:space="preserve">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2、精密空调应具有良好性能指标，可满足高效节能的要求，精密空调主要指标不应低于以下要求。</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1）输入电压允许波动范围：380V±10%，频率：50Hz±2Hz；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2）空调适应性：室内0℃～40℃，室外-15℃～45℃；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3）温度调节范围：+17℃~+28℃，温度调节精度：±1℃ ，温度变化率&lt;5℃/小时；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3、为保证良好的制冷效果，EC风机应采用选用较大送风量的风机</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 xml:space="preserve">4、为保证机房专用空调节能性，要求采用高效可靠的压缩机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5、▲精密空调应能够在设备的正面进行全面维修。空调本体外部应预留各种管道接口（冷媒管、加湿管、凝水管），包括下 、后、侧面三方向预留各种管道接口，以便现场安装。提供实物照片证明；</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6、▲为了降低回风风阻，机组应设计三面回风，即正面和左右两侧回风，需提供实物照片证明材料；</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7、为保证系统运行的高效性和稳定性，空调配置电子膨胀阀，需提供所投产品的膨胀阀型号及品牌；</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val="0"/>
                <w:bCs w:val="0"/>
                <w:color w:val="000000" w:themeColor="text1"/>
                <w14:textFill>
                  <w14:solidFill>
                    <w14:schemeClr w14:val="tx1"/>
                  </w14:solidFill>
                </w14:textFill>
              </w:rPr>
              <w:t>8、所有空调机组需采用R410A制冷剂</w:t>
            </w:r>
            <w:r>
              <w:rPr>
                <w:rFonts w:hint="eastAsia"/>
                <w:b/>
                <w:bCs/>
                <w:color w:val="FF0000"/>
              </w:rPr>
              <w:t>；</w:t>
            </w:r>
          </w:p>
        </w:tc>
        <w:tc>
          <w:tcPr>
            <w:tcW w:w="1050" w:type="dxa"/>
            <w:noWrap/>
            <w:vAlign w:val="center"/>
          </w:tcPr>
          <w:p>
            <w:pPr>
              <w:rPr>
                <w:rFonts w:hint="eastAsia"/>
                <w:b w:val="0"/>
                <w:bCs w:val="0"/>
                <w:color w:val="000000" w:themeColor="text1"/>
                <w14:textFill>
                  <w14:solidFill>
                    <w14:schemeClr w14:val="tx1"/>
                  </w14:solidFill>
                </w14:textFill>
              </w:rPr>
            </w:pPr>
          </w:p>
        </w:tc>
        <w:tc>
          <w:tcPr>
            <w:tcW w:w="773" w:type="dxa"/>
            <w:noWrap/>
            <w:vAlign w:val="center"/>
          </w:tcPr>
          <w:p>
            <w:pPr>
              <w:rPr>
                <w:rFonts w:hint="eastAsia"/>
                <w:b w:val="0"/>
                <w:bCs w:val="0"/>
                <w:color w:val="000000" w:themeColor="text1"/>
                <w14:textFill>
                  <w14:solidFill>
                    <w14:schemeClr w14:val="tx1"/>
                  </w14:solidFill>
                </w14:textFill>
              </w:rPr>
            </w:pPr>
          </w:p>
        </w:tc>
        <w:tc>
          <w:tcPr>
            <w:tcW w:w="807" w:type="dxa"/>
            <w:noWrap/>
            <w:vAlign w:val="center"/>
          </w:tcPr>
          <w:p>
            <w:pPr>
              <w:rPr>
                <w:rFonts w:hint="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9、精密空调具备相序保护功能，来电自启动和延时启动功能，提供</w:t>
            </w:r>
            <w:r>
              <w:rPr>
                <w:rFonts w:hint="eastAsia"/>
                <w:b/>
                <w:bCs/>
                <w:color w:val="FF0000"/>
                <w:lang w:val="en-US" w:eastAsia="zh-CN"/>
              </w:rPr>
              <w:t>产品</w:t>
            </w:r>
            <w:r>
              <w:rPr>
                <w:rFonts w:hint="eastAsia"/>
                <w:b/>
                <w:bCs/>
                <w:color w:val="FF0000"/>
              </w:rPr>
              <w:t>彩页</w:t>
            </w:r>
            <w:r>
              <w:rPr>
                <w:rFonts w:hint="eastAsia"/>
                <w:b/>
                <w:bCs/>
                <w:color w:val="FF0000"/>
                <w:lang w:val="en-US" w:eastAsia="zh-CN"/>
              </w:rPr>
              <w:t>扫描件，原件备查</w:t>
            </w:r>
            <w:r>
              <w:rPr>
                <w:rFonts w:hint="eastAsia"/>
                <w:b/>
                <w:bCs/>
                <w:color w:val="FF0000"/>
              </w:rPr>
              <w:t xml:space="preserve">；  </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10、★提供投标同系列产品的中国节能产品认证证书</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pPr>
              <w:rPr>
                <w:rFonts w:hint="eastAsia"/>
                <w:b/>
                <w:bCs/>
                <w:color w:val="FF0000"/>
              </w:rPr>
            </w:pPr>
            <w:r>
              <w:rPr>
                <w:rFonts w:hint="eastAsia"/>
                <w:b/>
                <w:bCs/>
                <w:color w:val="FF0000"/>
              </w:rPr>
              <w:t>11、提供投标机组的CRAA产品认证证书</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6" w:type="dxa"/>
            <w:vMerge w:val="restart"/>
            <w:noWrap/>
            <w:vAlign w:val="center"/>
          </w:tcPr>
          <w:p>
            <w:r>
              <w:rPr>
                <w:rFonts w:hint="eastAsia"/>
              </w:rPr>
              <w:t>2.8</w:t>
            </w:r>
          </w:p>
        </w:tc>
        <w:tc>
          <w:tcPr>
            <w:tcW w:w="766" w:type="dxa"/>
            <w:vMerge w:val="restart"/>
            <w:noWrap/>
            <w:vAlign w:val="center"/>
          </w:tcPr>
          <w:p>
            <w:r>
              <w:rPr>
                <w:rFonts w:hint="eastAsia"/>
              </w:rPr>
              <w:t>精密空调3</w:t>
            </w:r>
          </w:p>
        </w:tc>
        <w:tc>
          <w:tcPr>
            <w:tcW w:w="4577" w:type="dxa"/>
            <w:noWrap/>
            <w:vAlign w:val="center"/>
          </w:tcPr>
          <w:p>
            <w:r>
              <w:rPr>
                <w:rFonts w:hint="eastAsia"/>
                <w:b/>
                <w:bCs/>
                <w:color w:val="FF0000"/>
              </w:rPr>
              <w:t>1、▲风冷型房间级精密空调，上送风，制冷量≥7.1kW，显热制冷量≥6.8kW，风量≥2300m3/h，能效比≥3.0（工况：室内侧回风干球温度24℃（等同于湿球温度17℃）的条件下测得；室外侧（放热侧）干球温度35℃下测得），需提供投标产品同系列产品在该工况下</w:t>
            </w:r>
            <w:r>
              <w:rPr>
                <w:rFonts w:hint="eastAsia"/>
                <w:b/>
                <w:bCs/>
                <w:color w:val="FF0000"/>
                <w:lang w:val="en-US" w:eastAsia="zh-CN"/>
              </w:rPr>
              <w:t>由</w:t>
            </w:r>
            <w:r>
              <w:rPr>
                <w:rFonts w:hint="eastAsia"/>
                <w:b/>
                <w:bCs/>
                <w:color w:val="FF0000"/>
              </w:rPr>
              <w:t>第三方机构</w:t>
            </w:r>
            <w:r>
              <w:rPr>
                <w:rFonts w:hint="eastAsia"/>
                <w:b/>
                <w:bCs/>
                <w:color w:val="FF0000"/>
                <w:lang w:val="en-US" w:eastAsia="zh-CN"/>
              </w:rPr>
              <w:t>出具的</w:t>
            </w:r>
            <w:r>
              <w:rPr>
                <w:rFonts w:hint="eastAsia"/>
                <w:b/>
                <w:bCs/>
                <w:color w:val="FF0000"/>
              </w:rPr>
              <w:t>性能测试报告</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2、精密空调应具有良好性能指标，可满足高效节能的要求，精密空调主要指标不应低于以下要求：</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1）输入电压允许波动范围：380V±10%，频率：50Hz±2Hz；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2）空调适应性：室内0℃～40℃，室外-15℃～45℃；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3）温度调节范围：+17℃~+28℃，温度调节精度：±1℃ ，温度变化率&lt;5℃/小时；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3、为保证良好的制冷效果，EC风机应采用选用较大送风量的风机</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b/>
                <w:bCs/>
                <w:color w:val="FF0000"/>
              </w:rPr>
              <w:t>4、★为保证机房专用空调节能性，要求采用高效可靠的压缩机，提供投标同系列产品的中国节能产品认证证书</w:t>
            </w:r>
            <w:r>
              <w:rPr>
                <w:rFonts w:hint="eastAsia"/>
                <w:b/>
                <w:bCs/>
                <w:color w:val="FF0000"/>
                <w:lang w:val="en-US" w:eastAsia="zh-CN"/>
              </w:rPr>
              <w:t>扫描件，原件备查</w:t>
            </w:r>
            <w:r>
              <w:rPr>
                <w:rFonts w:hint="eastAsia"/>
                <w:b/>
                <w:bCs/>
                <w:color w:val="FF0000"/>
              </w:rPr>
              <w:t>；</w:t>
            </w:r>
          </w:p>
        </w:tc>
        <w:tc>
          <w:tcPr>
            <w:tcW w:w="1050" w:type="dxa"/>
            <w:noWrap/>
            <w:vAlign w:val="center"/>
          </w:tcPr>
          <w:p>
            <w:pPr>
              <w:rPr>
                <w:rFonts w:hint="eastAsia"/>
                <w:b/>
                <w:bCs/>
                <w:color w:val="FF0000"/>
              </w:rPr>
            </w:pPr>
          </w:p>
        </w:tc>
        <w:tc>
          <w:tcPr>
            <w:tcW w:w="773" w:type="dxa"/>
            <w:noWrap/>
            <w:vAlign w:val="center"/>
          </w:tcPr>
          <w:p>
            <w:pPr>
              <w:rPr>
                <w:rFonts w:hint="eastAsia"/>
                <w:b/>
                <w:bCs/>
                <w:color w:val="FF0000"/>
              </w:rPr>
            </w:pPr>
          </w:p>
        </w:tc>
        <w:tc>
          <w:tcPr>
            <w:tcW w:w="807" w:type="dxa"/>
            <w:noWrap/>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noWrap/>
            <w:vAlign w:val="center"/>
          </w:tcPr>
          <w:p>
            <w:r>
              <w:rPr>
                <w:rFonts w:hint="eastAsia"/>
              </w:rPr>
              <w:t>动环系统</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3.1</w:t>
            </w:r>
          </w:p>
        </w:tc>
        <w:tc>
          <w:tcPr>
            <w:tcW w:w="766" w:type="dxa"/>
            <w:vMerge w:val="restart"/>
            <w:noWrap/>
            <w:vAlign w:val="center"/>
          </w:tcPr>
          <w:p>
            <w:r>
              <w:rPr>
                <w:rFonts w:hint="eastAsia"/>
              </w:rPr>
              <w:t>机房动环监控系统</w:t>
            </w:r>
          </w:p>
        </w:tc>
        <w:tc>
          <w:tcPr>
            <w:tcW w:w="4577" w:type="dxa"/>
            <w:noWrap/>
            <w:vAlign w:val="center"/>
          </w:tcPr>
          <w:p>
            <w:r>
              <w:rPr>
                <w:rFonts w:hint="eastAsia"/>
              </w:rPr>
              <w:t>1、WEB界面，B/S架构，软件稳定可靠，功能强大，可实现机房基础设施集中监控和管理，支持登录用户分区域管理，支持多用户，</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2、丰富的报表，操作简单易用，界面美观，信息全面，并支持离线地图及设备列表等多种展示方式，</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3、用户可通过该软件实时掌握机房的运行状况，具备消息框报警、语音报警（需声卡和音箱）、手机短信报警（需短信模块）、电话语音报警（需电话语音模块）等报警功能</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4、支持北向SNMP协议接口</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noWrap/>
            <w:vAlign w:val="center"/>
          </w:tcPr>
          <w:p>
            <w:r>
              <w:rPr>
                <w:rFonts w:hint="eastAsia"/>
              </w:rPr>
              <w:t>5、含传感器及线缆敷设</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noWrap/>
            <w:vAlign w:val="center"/>
          </w:tcPr>
          <w:p>
            <w:r>
              <w:rPr>
                <w:rFonts w:hint="eastAsia"/>
              </w:rPr>
              <w:t>机房桥架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vAlign w:val="center"/>
          </w:tcPr>
          <w:p>
            <w:r>
              <w:rPr>
                <w:rFonts w:hint="eastAsia"/>
              </w:rPr>
              <w:t>强电网格桥架</w:t>
            </w:r>
          </w:p>
        </w:tc>
        <w:tc>
          <w:tcPr>
            <w:tcW w:w="4577" w:type="dxa"/>
            <w:vAlign w:val="center"/>
          </w:tcPr>
          <w:p>
            <w:r>
              <w:rPr>
                <w:rFonts w:hint="eastAsia"/>
              </w:rPr>
              <w:t>安装敷设不锈钢强电桥架200~400mm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vAlign w:val="center"/>
          </w:tcPr>
          <w:p>
            <w:r>
              <w:rPr>
                <w:rFonts w:hint="eastAsia"/>
              </w:rPr>
              <w:t>弱电网格桥架</w:t>
            </w:r>
          </w:p>
        </w:tc>
        <w:tc>
          <w:tcPr>
            <w:tcW w:w="4577" w:type="dxa"/>
            <w:vAlign w:val="center"/>
          </w:tcPr>
          <w:p>
            <w:r>
              <w:rPr>
                <w:rFonts w:hint="eastAsia"/>
              </w:rPr>
              <w:t>安装敷设不锈钢强弱桥架200~400mm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5343" w:type="dxa"/>
            <w:gridSpan w:val="2"/>
            <w:noWrap/>
            <w:vAlign w:val="center"/>
          </w:tcPr>
          <w:p>
            <w:r>
              <w:rPr>
                <w:rFonts w:hint="eastAsia"/>
              </w:rPr>
              <w:t>机房综合布线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5.1</w:t>
            </w:r>
          </w:p>
        </w:tc>
        <w:tc>
          <w:tcPr>
            <w:tcW w:w="766" w:type="dxa"/>
            <w:noWrap/>
            <w:vAlign w:val="center"/>
          </w:tcPr>
          <w:p>
            <w:r>
              <w:rPr>
                <w:rFonts w:hint="eastAsia"/>
              </w:rPr>
              <w:t>光缆</w:t>
            </w:r>
          </w:p>
        </w:tc>
        <w:tc>
          <w:tcPr>
            <w:tcW w:w="4577" w:type="dxa"/>
            <w:vAlign w:val="center"/>
          </w:tcPr>
          <w:p>
            <w:r>
              <w:rPr>
                <w:rFonts w:hint="eastAsia"/>
              </w:rPr>
              <w:t>24芯单模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5.2</w:t>
            </w:r>
          </w:p>
        </w:tc>
        <w:tc>
          <w:tcPr>
            <w:tcW w:w="766" w:type="dxa"/>
            <w:noWrap/>
            <w:vAlign w:val="center"/>
          </w:tcPr>
          <w:p>
            <w:r>
              <w:rPr>
                <w:rFonts w:hint="eastAsia"/>
              </w:rPr>
              <w:t>光纤分配架</w:t>
            </w:r>
          </w:p>
        </w:tc>
        <w:tc>
          <w:tcPr>
            <w:tcW w:w="4577" w:type="dxa"/>
            <w:vAlign w:val="center"/>
          </w:tcPr>
          <w:p>
            <w:r>
              <w:rPr>
                <w:rFonts w:hint="eastAsia"/>
              </w:rPr>
              <w:t>24口单模光纤分配架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5.3</w:t>
            </w:r>
          </w:p>
        </w:tc>
        <w:tc>
          <w:tcPr>
            <w:tcW w:w="766" w:type="dxa"/>
            <w:noWrap/>
            <w:vAlign w:val="center"/>
          </w:tcPr>
          <w:p>
            <w:r>
              <w:rPr>
                <w:rFonts w:hint="eastAsia"/>
              </w:rPr>
              <w:t>网线</w:t>
            </w:r>
          </w:p>
        </w:tc>
        <w:tc>
          <w:tcPr>
            <w:tcW w:w="4577" w:type="dxa"/>
            <w:vAlign w:val="center"/>
          </w:tcPr>
          <w:p>
            <w:r>
              <w:rPr>
                <w:rFonts w:hint="eastAsia"/>
              </w:rPr>
              <w:t>六类网线，含机柜内敷设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5.4</w:t>
            </w:r>
          </w:p>
        </w:tc>
        <w:tc>
          <w:tcPr>
            <w:tcW w:w="766" w:type="dxa"/>
            <w:noWrap/>
            <w:vAlign w:val="center"/>
          </w:tcPr>
          <w:p>
            <w:r>
              <w:rPr>
                <w:rFonts w:hint="eastAsia"/>
              </w:rPr>
              <w:t>网络配线架</w:t>
            </w:r>
          </w:p>
        </w:tc>
        <w:tc>
          <w:tcPr>
            <w:tcW w:w="4577" w:type="dxa"/>
            <w:vAlign w:val="center"/>
          </w:tcPr>
          <w:p>
            <w:r>
              <w:rPr>
                <w:rFonts w:hint="eastAsia"/>
              </w:rPr>
              <w:t>24口，非屏蔽，六类（含模块）</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5.5</w:t>
            </w:r>
          </w:p>
        </w:tc>
        <w:tc>
          <w:tcPr>
            <w:tcW w:w="766" w:type="dxa"/>
            <w:noWrap/>
            <w:vAlign w:val="center"/>
          </w:tcPr>
          <w:p>
            <w:r>
              <w:rPr>
                <w:rFonts w:hint="eastAsia"/>
              </w:rPr>
              <w:t>理线架</w:t>
            </w:r>
          </w:p>
        </w:tc>
        <w:tc>
          <w:tcPr>
            <w:tcW w:w="4577" w:type="dxa"/>
            <w:vAlign w:val="center"/>
          </w:tcPr>
          <w:p>
            <w:r>
              <w:rPr>
                <w:rFonts w:hint="eastAsia"/>
              </w:rPr>
              <w:t>网络理线架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5.6</w:t>
            </w:r>
          </w:p>
        </w:tc>
        <w:tc>
          <w:tcPr>
            <w:tcW w:w="766" w:type="dxa"/>
            <w:vAlign w:val="center"/>
          </w:tcPr>
          <w:p>
            <w:r>
              <w:rPr>
                <w:rFonts w:hint="eastAsia"/>
              </w:rPr>
              <w:t>网络跳线</w:t>
            </w:r>
          </w:p>
        </w:tc>
        <w:tc>
          <w:tcPr>
            <w:tcW w:w="4577" w:type="dxa"/>
            <w:vAlign w:val="center"/>
          </w:tcPr>
          <w:p>
            <w:r>
              <w:rPr>
                <w:rFonts w:hint="eastAsia"/>
              </w:rPr>
              <w:t>4对六类非屏蔽软跳线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二</w:t>
            </w:r>
          </w:p>
        </w:tc>
        <w:tc>
          <w:tcPr>
            <w:tcW w:w="5343" w:type="dxa"/>
            <w:gridSpan w:val="2"/>
            <w:noWrap/>
            <w:vAlign w:val="center"/>
          </w:tcPr>
          <w:p>
            <w:r>
              <w:rPr>
                <w:rFonts w:hint="eastAsia"/>
              </w:rPr>
              <w:t>海关信息机房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noWrap/>
            <w:vAlign w:val="center"/>
          </w:tcPr>
          <w:p>
            <w:r>
              <w:rPr>
                <w:rFonts w:hint="eastAsia"/>
              </w:rPr>
              <w:t>模块化机柜</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1.1</w:t>
            </w:r>
          </w:p>
        </w:tc>
        <w:tc>
          <w:tcPr>
            <w:tcW w:w="766" w:type="dxa"/>
            <w:noWrap/>
            <w:vAlign w:val="center"/>
          </w:tcPr>
          <w:p>
            <w:r>
              <w:rPr>
                <w:rFonts w:hint="eastAsia"/>
              </w:rPr>
              <w:t>服务器机柜</w:t>
            </w:r>
          </w:p>
        </w:tc>
        <w:tc>
          <w:tcPr>
            <w:tcW w:w="4577" w:type="dxa"/>
            <w:noWrap/>
            <w:vAlign w:val="center"/>
          </w:tcPr>
          <w:p>
            <w:r>
              <w:rPr>
                <w:rFonts w:hint="eastAsia"/>
              </w:rPr>
              <w:t>参数同上口岸信息机房“服务器机柜”</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766" w:type="dxa"/>
            <w:noWrap/>
            <w:vAlign w:val="center"/>
          </w:tcPr>
          <w:p>
            <w:r>
              <w:rPr>
                <w:rFonts w:hint="eastAsia"/>
              </w:rPr>
              <w:t>密闭通道组件</w:t>
            </w:r>
          </w:p>
        </w:tc>
        <w:tc>
          <w:tcPr>
            <w:tcW w:w="4577" w:type="dxa"/>
            <w:vAlign w:val="center"/>
          </w:tcPr>
          <w:p>
            <w:r>
              <w:rPr>
                <w:rFonts w:hint="eastAsia"/>
              </w:rPr>
              <w:t>参数同上口岸信息机房“密闭通道组件”</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1.3</w:t>
            </w:r>
          </w:p>
        </w:tc>
        <w:tc>
          <w:tcPr>
            <w:tcW w:w="766" w:type="dxa"/>
            <w:noWrap/>
            <w:vAlign w:val="center"/>
          </w:tcPr>
          <w:p>
            <w:r>
              <w:rPr>
                <w:rFonts w:hint="eastAsia"/>
              </w:rPr>
              <w:t>精密空调1</w:t>
            </w:r>
          </w:p>
        </w:tc>
        <w:tc>
          <w:tcPr>
            <w:tcW w:w="4577" w:type="dxa"/>
            <w:vAlign w:val="center"/>
          </w:tcPr>
          <w:p>
            <w:r>
              <w:rPr>
                <w:rFonts w:hint="eastAsia"/>
              </w:rPr>
              <w:t>参数同上口岸信息机房“精密空调1”</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1.4</w:t>
            </w:r>
          </w:p>
        </w:tc>
        <w:tc>
          <w:tcPr>
            <w:tcW w:w="766" w:type="dxa"/>
            <w:noWrap/>
            <w:vAlign w:val="center"/>
          </w:tcPr>
          <w:p>
            <w:r>
              <w:rPr>
                <w:rFonts w:hint="eastAsia"/>
              </w:rPr>
              <w:t>监控组件</w:t>
            </w:r>
          </w:p>
        </w:tc>
        <w:tc>
          <w:tcPr>
            <w:tcW w:w="4577" w:type="dxa"/>
            <w:vAlign w:val="center"/>
          </w:tcPr>
          <w:p>
            <w:r>
              <w:rPr>
                <w:rFonts w:hint="eastAsia"/>
              </w:rPr>
              <w:t>参数同上口岸信息机房“监控组件”</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1.5</w:t>
            </w:r>
          </w:p>
        </w:tc>
        <w:tc>
          <w:tcPr>
            <w:tcW w:w="766" w:type="dxa"/>
            <w:noWrap/>
            <w:vAlign w:val="center"/>
          </w:tcPr>
          <w:p>
            <w:r>
              <w:rPr>
                <w:rFonts w:hint="eastAsia"/>
              </w:rPr>
              <w:t>成套线缆</w:t>
            </w:r>
          </w:p>
        </w:tc>
        <w:tc>
          <w:tcPr>
            <w:tcW w:w="4577" w:type="dxa"/>
            <w:vAlign w:val="center"/>
          </w:tcPr>
          <w:p>
            <w:r>
              <w:rPr>
                <w:rFonts w:hint="eastAsia"/>
              </w:rPr>
              <w:t>微模块各个部件之间的功率线缆、信号线缆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noWrap/>
            <w:vAlign w:val="center"/>
          </w:tcPr>
          <w:p>
            <w:r>
              <w:rPr>
                <w:rFonts w:hint="eastAsia"/>
              </w:rPr>
              <w:t>供配电、UPS、空调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2.1</w:t>
            </w:r>
          </w:p>
        </w:tc>
        <w:tc>
          <w:tcPr>
            <w:tcW w:w="766" w:type="dxa"/>
            <w:noWrap/>
            <w:vAlign w:val="center"/>
          </w:tcPr>
          <w:p>
            <w:r>
              <w:rPr>
                <w:rFonts w:hint="eastAsia"/>
              </w:rPr>
              <w:t>市电总配电柜</w:t>
            </w:r>
          </w:p>
        </w:tc>
        <w:tc>
          <w:tcPr>
            <w:tcW w:w="4577" w:type="dxa"/>
            <w:vAlign w:val="center"/>
          </w:tcPr>
          <w:p>
            <w:r>
              <w:rPr>
                <w:rFonts w:hint="eastAsia"/>
              </w:rPr>
              <w:t>含柜体、ATS切换开关、塑壳开关、电量仪、保护开关等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2.2</w:t>
            </w:r>
          </w:p>
        </w:tc>
        <w:tc>
          <w:tcPr>
            <w:tcW w:w="766" w:type="dxa"/>
            <w:noWrap/>
            <w:vAlign w:val="center"/>
          </w:tcPr>
          <w:p>
            <w:r>
              <w:rPr>
                <w:rFonts w:hint="eastAsia"/>
              </w:rPr>
              <w:t>UPS输出柜</w:t>
            </w:r>
          </w:p>
        </w:tc>
        <w:tc>
          <w:tcPr>
            <w:tcW w:w="4577" w:type="dxa"/>
            <w:vAlign w:val="center"/>
          </w:tcPr>
          <w:p>
            <w:r>
              <w:rPr>
                <w:rFonts w:hint="eastAsia"/>
              </w:rPr>
              <w:t>含柜体、电量仪、塑壳开关、微断开关、保护开关等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2.3</w:t>
            </w:r>
          </w:p>
        </w:tc>
        <w:tc>
          <w:tcPr>
            <w:tcW w:w="766" w:type="dxa"/>
            <w:noWrap/>
            <w:vAlign w:val="center"/>
          </w:tcPr>
          <w:p>
            <w:r>
              <w:rPr>
                <w:rFonts w:hint="eastAsia"/>
              </w:rPr>
              <w:t>电力电缆</w:t>
            </w:r>
          </w:p>
        </w:tc>
        <w:tc>
          <w:tcPr>
            <w:tcW w:w="4577" w:type="dxa"/>
            <w:vAlign w:val="center"/>
          </w:tcPr>
          <w:p>
            <w:r>
              <w:rPr>
                <w:rFonts w:hint="eastAsia"/>
              </w:rPr>
              <w:t>含主输入端电缆、输出电缆等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2.4</w:t>
            </w:r>
          </w:p>
        </w:tc>
        <w:tc>
          <w:tcPr>
            <w:tcW w:w="766" w:type="dxa"/>
            <w:noWrap/>
            <w:vAlign w:val="center"/>
          </w:tcPr>
          <w:p>
            <w:r>
              <w:rPr>
                <w:rFonts w:hint="eastAsia"/>
              </w:rPr>
              <w:t>机房用UPS系统</w:t>
            </w:r>
          </w:p>
        </w:tc>
        <w:tc>
          <w:tcPr>
            <w:tcW w:w="4577" w:type="dxa"/>
            <w:vAlign w:val="center"/>
          </w:tcPr>
          <w:p>
            <w:r>
              <w:rPr>
                <w:rFonts w:hint="eastAsia"/>
              </w:rPr>
              <w:t>参数同上口岸信息机房“机房用UPS系统”</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2.5</w:t>
            </w:r>
          </w:p>
        </w:tc>
        <w:tc>
          <w:tcPr>
            <w:tcW w:w="766" w:type="dxa"/>
            <w:noWrap/>
            <w:vAlign w:val="center"/>
          </w:tcPr>
          <w:p>
            <w:r>
              <w:rPr>
                <w:rFonts w:hint="eastAsia"/>
              </w:rPr>
              <w:t>蓄电池</w:t>
            </w:r>
          </w:p>
        </w:tc>
        <w:tc>
          <w:tcPr>
            <w:tcW w:w="4577" w:type="dxa"/>
            <w:vAlign w:val="center"/>
          </w:tcPr>
          <w:p>
            <w:r>
              <w:rPr>
                <w:rFonts w:hint="eastAsia"/>
              </w:rPr>
              <w:t>参数同上口岸信息机房“蓄电池”</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2.6</w:t>
            </w:r>
          </w:p>
        </w:tc>
        <w:tc>
          <w:tcPr>
            <w:tcW w:w="766" w:type="dxa"/>
            <w:noWrap/>
            <w:vAlign w:val="center"/>
          </w:tcPr>
          <w:p>
            <w:r>
              <w:rPr>
                <w:rFonts w:hint="eastAsia"/>
              </w:rPr>
              <w:t>电池柜及电源线</w:t>
            </w:r>
          </w:p>
        </w:tc>
        <w:tc>
          <w:tcPr>
            <w:tcW w:w="4577" w:type="dxa"/>
            <w:vAlign w:val="center"/>
          </w:tcPr>
          <w:p>
            <w:r>
              <w:rPr>
                <w:rFonts w:hint="eastAsia"/>
              </w:rPr>
              <w:t>定制，规格1200*1100mm，含电池柜配套线缆辅料</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2.7</w:t>
            </w:r>
          </w:p>
        </w:tc>
        <w:tc>
          <w:tcPr>
            <w:tcW w:w="766" w:type="dxa"/>
            <w:noWrap/>
            <w:vAlign w:val="center"/>
          </w:tcPr>
          <w:p>
            <w:r>
              <w:rPr>
                <w:rFonts w:hint="eastAsia"/>
              </w:rPr>
              <w:t>精密空调2</w:t>
            </w:r>
          </w:p>
        </w:tc>
        <w:tc>
          <w:tcPr>
            <w:tcW w:w="4577" w:type="dxa"/>
            <w:vAlign w:val="center"/>
          </w:tcPr>
          <w:p>
            <w:r>
              <w:rPr>
                <w:rFonts w:hint="eastAsia"/>
              </w:rPr>
              <w:t>参数同上口岸信息机房“精密空调2”</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noWrap/>
            <w:vAlign w:val="center"/>
          </w:tcPr>
          <w:p>
            <w:r>
              <w:rPr>
                <w:rFonts w:hint="eastAsia"/>
              </w:rPr>
              <w:t>动环系统</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w:t>
            </w:r>
          </w:p>
        </w:tc>
        <w:tc>
          <w:tcPr>
            <w:tcW w:w="766" w:type="dxa"/>
            <w:noWrap/>
            <w:vAlign w:val="center"/>
          </w:tcPr>
          <w:p>
            <w:r>
              <w:rPr>
                <w:rFonts w:hint="eastAsia"/>
              </w:rPr>
              <w:t>机房动环监控系统</w:t>
            </w:r>
          </w:p>
        </w:tc>
        <w:tc>
          <w:tcPr>
            <w:tcW w:w="4577" w:type="dxa"/>
            <w:noWrap/>
            <w:vAlign w:val="center"/>
          </w:tcPr>
          <w:p>
            <w:r>
              <w:rPr>
                <w:rFonts w:hint="eastAsia"/>
              </w:rPr>
              <w:t xml:space="preserve">参数同上口岸信息机房“机房动环监控系统” </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noWrap/>
            <w:vAlign w:val="center"/>
          </w:tcPr>
          <w:p>
            <w:r>
              <w:rPr>
                <w:rFonts w:hint="eastAsia"/>
              </w:rPr>
              <w:t>机房桥架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vAlign w:val="center"/>
          </w:tcPr>
          <w:p>
            <w:r>
              <w:rPr>
                <w:rFonts w:hint="eastAsia"/>
              </w:rPr>
              <w:t>强电网格桥架</w:t>
            </w:r>
          </w:p>
        </w:tc>
        <w:tc>
          <w:tcPr>
            <w:tcW w:w="4577" w:type="dxa"/>
            <w:vAlign w:val="center"/>
          </w:tcPr>
          <w:p>
            <w:r>
              <w:rPr>
                <w:rFonts w:hint="eastAsia"/>
              </w:rPr>
              <w:t>安装敷设不锈钢强电桥架200~400mm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vAlign w:val="center"/>
          </w:tcPr>
          <w:p>
            <w:r>
              <w:rPr>
                <w:rFonts w:hint="eastAsia"/>
              </w:rPr>
              <w:t>弱电网格桥架</w:t>
            </w:r>
          </w:p>
        </w:tc>
        <w:tc>
          <w:tcPr>
            <w:tcW w:w="4577" w:type="dxa"/>
            <w:vAlign w:val="center"/>
          </w:tcPr>
          <w:p>
            <w:r>
              <w:rPr>
                <w:rFonts w:hint="eastAsia"/>
              </w:rPr>
              <w:t>安装敷设不锈钢强弱桥架200~400mm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5343" w:type="dxa"/>
            <w:gridSpan w:val="2"/>
            <w:noWrap/>
            <w:vAlign w:val="center"/>
          </w:tcPr>
          <w:p>
            <w:r>
              <w:rPr>
                <w:rFonts w:hint="eastAsia"/>
              </w:rPr>
              <w:t>机房综合布线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5.1</w:t>
            </w:r>
          </w:p>
        </w:tc>
        <w:tc>
          <w:tcPr>
            <w:tcW w:w="766" w:type="dxa"/>
            <w:noWrap/>
            <w:vAlign w:val="center"/>
          </w:tcPr>
          <w:p>
            <w:r>
              <w:rPr>
                <w:rFonts w:hint="eastAsia"/>
              </w:rPr>
              <w:t>光缆</w:t>
            </w:r>
          </w:p>
        </w:tc>
        <w:tc>
          <w:tcPr>
            <w:tcW w:w="4577" w:type="dxa"/>
            <w:vAlign w:val="center"/>
          </w:tcPr>
          <w:p>
            <w:r>
              <w:rPr>
                <w:rFonts w:hint="eastAsia"/>
              </w:rPr>
              <w:t>24芯单模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5.2</w:t>
            </w:r>
          </w:p>
        </w:tc>
        <w:tc>
          <w:tcPr>
            <w:tcW w:w="766" w:type="dxa"/>
            <w:noWrap/>
            <w:vAlign w:val="center"/>
          </w:tcPr>
          <w:p>
            <w:r>
              <w:rPr>
                <w:rFonts w:hint="eastAsia"/>
              </w:rPr>
              <w:t>ODF架</w:t>
            </w:r>
          </w:p>
        </w:tc>
        <w:tc>
          <w:tcPr>
            <w:tcW w:w="4577" w:type="dxa"/>
            <w:vAlign w:val="center"/>
          </w:tcPr>
          <w:p>
            <w:r>
              <w:rPr>
                <w:rFonts w:hint="eastAsia"/>
              </w:rPr>
              <w:t>840*450*2600,满配</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5.3</w:t>
            </w:r>
          </w:p>
        </w:tc>
        <w:tc>
          <w:tcPr>
            <w:tcW w:w="766" w:type="dxa"/>
            <w:noWrap/>
            <w:vAlign w:val="center"/>
          </w:tcPr>
          <w:p>
            <w:r>
              <w:rPr>
                <w:rFonts w:hint="eastAsia"/>
              </w:rPr>
              <w:t>光纤分配架</w:t>
            </w:r>
          </w:p>
        </w:tc>
        <w:tc>
          <w:tcPr>
            <w:tcW w:w="4577" w:type="dxa"/>
            <w:vAlign w:val="center"/>
          </w:tcPr>
          <w:p>
            <w:r>
              <w:rPr>
                <w:rFonts w:hint="eastAsia"/>
              </w:rPr>
              <w:t>24口单模光纤分配架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5.4</w:t>
            </w:r>
          </w:p>
        </w:tc>
        <w:tc>
          <w:tcPr>
            <w:tcW w:w="766" w:type="dxa"/>
            <w:noWrap/>
            <w:vAlign w:val="center"/>
          </w:tcPr>
          <w:p>
            <w:r>
              <w:rPr>
                <w:rFonts w:hint="eastAsia"/>
              </w:rPr>
              <w:t>网络配线架</w:t>
            </w:r>
          </w:p>
        </w:tc>
        <w:tc>
          <w:tcPr>
            <w:tcW w:w="4577" w:type="dxa"/>
            <w:vAlign w:val="center"/>
          </w:tcPr>
          <w:p>
            <w:r>
              <w:rPr>
                <w:rFonts w:hint="eastAsia"/>
              </w:rPr>
              <w:t>24口，非屏蔽，六类（含模块）</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5.5</w:t>
            </w:r>
          </w:p>
        </w:tc>
        <w:tc>
          <w:tcPr>
            <w:tcW w:w="766" w:type="dxa"/>
            <w:noWrap/>
            <w:vAlign w:val="center"/>
          </w:tcPr>
          <w:p>
            <w:r>
              <w:rPr>
                <w:rFonts w:hint="eastAsia"/>
              </w:rPr>
              <w:t>网线</w:t>
            </w:r>
          </w:p>
        </w:tc>
        <w:tc>
          <w:tcPr>
            <w:tcW w:w="4577" w:type="dxa"/>
            <w:vAlign w:val="center"/>
          </w:tcPr>
          <w:p>
            <w:r>
              <w:rPr>
                <w:rFonts w:hint="eastAsia"/>
              </w:rPr>
              <w:t>六类网线，含机柜内敷设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5.6</w:t>
            </w:r>
          </w:p>
        </w:tc>
        <w:tc>
          <w:tcPr>
            <w:tcW w:w="766" w:type="dxa"/>
            <w:noWrap/>
            <w:vAlign w:val="center"/>
          </w:tcPr>
          <w:p>
            <w:r>
              <w:rPr>
                <w:rFonts w:hint="eastAsia"/>
              </w:rPr>
              <w:t>理线架</w:t>
            </w:r>
          </w:p>
        </w:tc>
        <w:tc>
          <w:tcPr>
            <w:tcW w:w="4577" w:type="dxa"/>
            <w:vAlign w:val="center"/>
          </w:tcPr>
          <w:p>
            <w:r>
              <w:rPr>
                <w:rFonts w:hint="eastAsia"/>
              </w:rPr>
              <w:t>网络理线架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5.7</w:t>
            </w:r>
          </w:p>
        </w:tc>
        <w:tc>
          <w:tcPr>
            <w:tcW w:w="766" w:type="dxa"/>
            <w:vAlign w:val="center"/>
          </w:tcPr>
          <w:p>
            <w:r>
              <w:rPr>
                <w:rFonts w:hint="eastAsia"/>
              </w:rPr>
              <w:t>网络跳线</w:t>
            </w:r>
          </w:p>
        </w:tc>
        <w:tc>
          <w:tcPr>
            <w:tcW w:w="4577" w:type="dxa"/>
            <w:vAlign w:val="center"/>
          </w:tcPr>
          <w:p>
            <w:r>
              <w:rPr>
                <w:rFonts w:hint="eastAsia"/>
              </w:rPr>
              <w:t>4对六类非屏蔽软跳线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三</w:t>
            </w:r>
          </w:p>
        </w:tc>
        <w:tc>
          <w:tcPr>
            <w:tcW w:w="5343" w:type="dxa"/>
            <w:gridSpan w:val="2"/>
            <w:noWrap/>
            <w:vAlign w:val="center"/>
          </w:tcPr>
          <w:p>
            <w:r>
              <w:rPr>
                <w:rFonts w:hint="eastAsia"/>
              </w:rPr>
              <w:t>边检信息机房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noWrap/>
            <w:vAlign w:val="center"/>
          </w:tcPr>
          <w:p>
            <w:r>
              <w:rPr>
                <w:rFonts w:hint="eastAsia"/>
              </w:rPr>
              <w:t>模块化机柜</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1.1</w:t>
            </w:r>
          </w:p>
        </w:tc>
        <w:tc>
          <w:tcPr>
            <w:tcW w:w="766" w:type="dxa"/>
            <w:noWrap/>
            <w:vAlign w:val="center"/>
          </w:tcPr>
          <w:p>
            <w:r>
              <w:rPr>
                <w:rFonts w:hint="eastAsia"/>
              </w:rPr>
              <w:t>服务器机柜</w:t>
            </w:r>
          </w:p>
        </w:tc>
        <w:tc>
          <w:tcPr>
            <w:tcW w:w="4577" w:type="dxa"/>
            <w:vAlign w:val="center"/>
          </w:tcPr>
          <w:p>
            <w:r>
              <w:rPr>
                <w:rFonts w:hint="eastAsia"/>
              </w:rPr>
              <w:t>参数同上口岸信息机房“服务器机柜”</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766" w:type="dxa"/>
            <w:noWrap/>
            <w:vAlign w:val="center"/>
          </w:tcPr>
          <w:p>
            <w:r>
              <w:rPr>
                <w:rFonts w:hint="eastAsia"/>
              </w:rPr>
              <w:t>密闭通道组件</w:t>
            </w:r>
          </w:p>
        </w:tc>
        <w:tc>
          <w:tcPr>
            <w:tcW w:w="4577" w:type="dxa"/>
            <w:vAlign w:val="center"/>
          </w:tcPr>
          <w:p>
            <w:r>
              <w:rPr>
                <w:rFonts w:hint="eastAsia"/>
              </w:rPr>
              <w:t>参数同上口岸信息机房“密闭通道组件”</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1.3</w:t>
            </w:r>
          </w:p>
        </w:tc>
        <w:tc>
          <w:tcPr>
            <w:tcW w:w="766" w:type="dxa"/>
            <w:noWrap/>
            <w:vAlign w:val="center"/>
          </w:tcPr>
          <w:p>
            <w:r>
              <w:rPr>
                <w:rFonts w:hint="eastAsia"/>
              </w:rPr>
              <w:t>配电柜</w:t>
            </w:r>
          </w:p>
        </w:tc>
        <w:tc>
          <w:tcPr>
            <w:tcW w:w="4577" w:type="dxa"/>
            <w:vAlign w:val="center"/>
          </w:tcPr>
          <w:p>
            <w:r>
              <w:rPr>
                <w:rFonts w:hint="eastAsia"/>
              </w:rPr>
              <w:t>参数同上口岸信息机房“配电柜”</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1.4</w:t>
            </w:r>
          </w:p>
        </w:tc>
        <w:tc>
          <w:tcPr>
            <w:tcW w:w="766" w:type="dxa"/>
            <w:noWrap/>
            <w:vAlign w:val="center"/>
          </w:tcPr>
          <w:p>
            <w:r>
              <w:rPr>
                <w:rFonts w:hint="eastAsia"/>
              </w:rPr>
              <w:t>精密空调1</w:t>
            </w:r>
          </w:p>
        </w:tc>
        <w:tc>
          <w:tcPr>
            <w:tcW w:w="4577" w:type="dxa"/>
            <w:vAlign w:val="center"/>
          </w:tcPr>
          <w:p>
            <w:r>
              <w:rPr>
                <w:rFonts w:hint="eastAsia"/>
              </w:rPr>
              <w:t>参数同上口岸信息机房“精密空调1”</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1.5</w:t>
            </w:r>
          </w:p>
        </w:tc>
        <w:tc>
          <w:tcPr>
            <w:tcW w:w="766" w:type="dxa"/>
            <w:noWrap/>
            <w:vAlign w:val="center"/>
          </w:tcPr>
          <w:p>
            <w:r>
              <w:rPr>
                <w:rFonts w:hint="eastAsia"/>
              </w:rPr>
              <w:t>监控组件</w:t>
            </w:r>
          </w:p>
        </w:tc>
        <w:tc>
          <w:tcPr>
            <w:tcW w:w="4577" w:type="dxa"/>
            <w:vAlign w:val="center"/>
          </w:tcPr>
          <w:p>
            <w:r>
              <w:rPr>
                <w:rFonts w:hint="eastAsia"/>
              </w:rPr>
              <w:t>参数同上口岸信息机房“监控组件”</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1.6</w:t>
            </w:r>
          </w:p>
        </w:tc>
        <w:tc>
          <w:tcPr>
            <w:tcW w:w="766" w:type="dxa"/>
            <w:noWrap/>
            <w:vAlign w:val="center"/>
          </w:tcPr>
          <w:p>
            <w:r>
              <w:rPr>
                <w:rFonts w:hint="eastAsia"/>
              </w:rPr>
              <w:t>成套线缆</w:t>
            </w:r>
          </w:p>
        </w:tc>
        <w:tc>
          <w:tcPr>
            <w:tcW w:w="4577" w:type="dxa"/>
            <w:vAlign w:val="center"/>
          </w:tcPr>
          <w:p>
            <w:r>
              <w:rPr>
                <w:rFonts w:hint="eastAsia"/>
              </w:rPr>
              <w:t>微模块各个部件之间的功率线缆、信号线缆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noWrap/>
            <w:vAlign w:val="center"/>
          </w:tcPr>
          <w:p>
            <w:r>
              <w:rPr>
                <w:rFonts w:hint="eastAsia"/>
              </w:rPr>
              <w:t>供配电、UPS、空调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2.1</w:t>
            </w:r>
          </w:p>
        </w:tc>
        <w:tc>
          <w:tcPr>
            <w:tcW w:w="766" w:type="dxa"/>
            <w:noWrap/>
            <w:vAlign w:val="center"/>
          </w:tcPr>
          <w:p>
            <w:r>
              <w:rPr>
                <w:rFonts w:hint="eastAsia"/>
              </w:rPr>
              <w:t>市电总配电柜</w:t>
            </w:r>
          </w:p>
        </w:tc>
        <w:tc>
          <w:tcPr>
            <w:tcW w:w="4577" w:type="dxa"/>
            <w:vAlign w:val="center"/>
          </w:tcPr>
          <w:p>
            <w:r>
              <w:rPr>
                <w:rFonts w:hint="eastAsia"/>
              </w:rPr>
              <w:t>含柜体、ATS切换开关、塑壳开关、电量仪、保护开关等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2.2</w:t>
            </w:r>
          </w:p>
        </w:tc>
        <w:tc>
          <w:tcPr>
            <w:tcW w:w="766" w:type="dxa"/>
            <w:noWrap/>
            <w:vAlign w:val="center"/>
          </w:tcPr>
          <w:p>
            <w:r>
              <w:rPr>
                <w:rFonts w:hint="eastAsia"/>
              </w:rPr>
              <w:t>UPS输出柜</w:t>
            </w:r>
          </w:p>
        </w:tc>
        <w:tc>
          <w:tcPr>
            <w:tcW w:w="4577" w:type="dxa"/>
            <w:vAlign w:val="center"/>
          </w:tcPr>
          <w:p>
            <w:r>
              <w:rPr>
                <w:rFonts w:hint="eastAsia"/>
              </w:rPr>
              <w:t>含柜体、电量仪、塑壳开关、微断开关、保护开关等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2.3</w:t>
            </w:r>
          </w:p>
        </w:tc>
        <w:tc>
          <w:tcPr>
            <w:tcW w:w="766" w:type="dxa"/>
            <w:noWrap/>
            <w:vAlign w:val="center"/>
          </w:tcPr>
          <w:p>
            <w:r>
              <w:rPr>
                <w:rFonts w:hint="eastAsia"/>
              </w:rPr>
              <w:t>电力电缆</w:t>
            </w:r>
          </w:p>
        </w:tc>
        <w:tc>
          <w:tcPr>
            <w:tcW w:w="4577" w:type="dxa"/>
            <w:vAlign w:val="center"/>
          </w:tcPr>
          <w:p>
            <w:r>
              <w:rPr>
                <w:rFonts w:hint="eastAsia"/>
              </w:rPr>
              <w:t>含主输入端电缆、输出电缆等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2.4</w:t>
            </w:r>
          </w:p>
        </w:tc>
        <w:tc>
          <w:tcPr>
            <w:tcW w:w="766" w:type="dxa"/>
            <w:noWrap/>
            <w:vAlign w:val="center"/>
          </w:tcPr>
          <w:p>
            <w:r>
              <w:rPr>
                <w:rFonts w:hint="eastAsia"/>
              </w:rPr>
              <w:t>机房用UPS系统</w:t>
            </w:r>
          </w:p>
        </w:tc>
        <w:tc>
          <w:tcPr>
            <w:tcW w:w="4577" w:type="dxa"/>
            <w:vAlign w:val="center"/>
          </w:tcPr>
          <w:p>
            <w:r>
              <w:rPr>
                <w:rFonts w:hint="eastAsia"/>
              </w:rPr>
              <w:t>参数同上口岸信息机房“机房用UPS系统”</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2.5</w:t>
            </w:r>
          </w:p>
        </w:tc>
        <w:tc>
          <w:tcPr>
            <w:tcW w:w="766" w:type="dxa"/>
            <w:noWrap/>
            <w:vAlign w:val="center"/>
          </w:tcPr>
          <w:p>
            <w:r>
              <w:rPr>
                <w:rFonts w:hint="eastAsia"/>
              </w:rPr>
              <w:t>蓄电池</w:t>
            </w:r>
          </w:p>
        </w:tc>
        <w:tc>
          <w:tcPr>
            <w:tcW w:w="4577" w:type="dxa"/>
            <w:vAlign w:val="center"/>
          </w:tcPr>
          <w:p>
            <w:r>
              <w:rPr>
                <w:rFonts w:hint="eastAsia"/>
              </w:rPr>
              <w:t>参数同上口岸信息机房“蓄电池”</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2.6</w:t>
            </w:r>
          </w:p>
        </w:tc>
        <w:tc>
          <w:tcPr>
            <w:tcW w:w="766" w:type="dxa"/>
            <w:noWrap/>
            <w:vAlign w:val="center"/>
          </w:tcPr>
          <w:p>
            <w:r>
              <w:rPr>
                <w:rFonts w:hint="eastAsia"/>
              </w:rPr>
              <w:t>电池柜及电源线</w:t>
            </w:r>
          </w:p>
        </w:tc>
        <w:tc>
          <w:tcPr>
            <w:tcW w:w="4577" w:type="dxa"/>
            <w:vAlign w:val="center"/>
          </w:tcPr>
          <w:p>
            <w:r>
              <w:rPr>
                <w:rFonts w:hint="eastAsia"/>
              </w:rPr>
              <w:t>定制，规格1200*1100mm，含电池柜配套线缆辅料</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2.7</w:t>
            </w:r>
          </w:p>
        </w:tc>
        <w:tc>
          <w:tcPr>
            <w:tcW w:w="766" w:type="dxa"/>
            <w:noWrap/>
            <w:vAlign w:val="center"/>
          </w:tcPr>
          <w:p>
            <w:r>
              <w:rPr>
                <w:rFonts w:hint="eastAsia"/>
              </w:rPr>
              <w:t>精密空调2</w:t>
            </w:r>
          </w:p>
        </w:tc>
        <w:tc>
          <w:tcPr>
            <w:tcW w:w="4577" w:type="dxa"/>
            <w:vAlign w:val="center"/>
          </w:tcPr>
          <w:p>
            <w:r>
              <w:rPr>
                <w:rFonts w:hint="eastAsia"/>
              </w:rPr>
              <w:t>参数同上口岸信息机房“精密空调2”</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noWrap/>
            <w:vAlign w:val="center"/>
          </w:tcPr>
          <w:p>
            <w:r>
              <w:rPr>
                <w:rFonts w:hint="eastAsia"/>
              </w:rPr>
              <w:t>动环系统</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w:t>
            </w:r>
          </w:p>
        </w:tc>
        <w:tc>
          <w:tcPr>
            <w:tcW w:w="766" w:type="dxa"/>
            <w:noWrap/>
            <w:vAlign w:val="center"/>
          </w:tcPr>
          <w:p>
            <w:r>
              <w:rPr>
                <w:rFonts w:hint="eastAsia"/>
              </w:rPr>
              <w:t>机房动环监控系统</w:t>
            </w:r>
          </w:p>
        </w:tc>
        <w:tc>
          <w:tcPr>
            <w:tcW w:w="4577" w:type="dxa"/>
            <w:noWrap/>
            <w:vAlign w:val="center"/>
          </w:tcPr>
          <w:p>
            <w:r>
              <w:rPr>
                <w:rFonts w:hint="eastAsia"/>
              </w:rPr>
              <w:t xml:space="preserve">参数同上口岸信息机房“机房动环监控系统” </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noWrap/>
            <w:vAlign w:val="center"/>
          </w:tcPr>
          <w:p>
            <w:r>
              <w:rPr>
                <w:rFonts w:hint="eastAsia"/>
              </w:rPr>
              <w:t>机房桥架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vAlign w:val="center"/>
          </w:tcPr>
          <w:p>
            <w:r>
              <w:rPr>
                <w:rFonts w:hint="eastAsia"/>
              </w:rPr>
              <w:t>强电网格桥架</w:t>
            </w:r>
          </w:p>
        </w:tc>
        <w:tc>
          <w:tcPr>
            <w:tcW w:w="4577" w:type="dxa"/>
            <w:vAlign w:val="center"/>
          </w:tcPr>
          <w:p>
            <w:r>
              <w:rPr>
                <w:rFonts w:hint="eastAsia"/>
              </w:rPr>
              <w:t>安装敷设不锈钢强电桥架200~400mm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vAlign w:val="center"/>
          </w:tcPr>
          <w:p>
            <w:r>
              <w:rPr>
                <w:rFonts w:hint="eastAsia"/>
              </w:rPr>
              <w:t>弱电网格桥架</w:t>
            </w:r>
          </w:p>
        </w:tc>
        <w:tc>
          <w:tcPr>
            <w:tcW w:w="4577" w:type="dxa"/>
            <w:vAlign w:val="center"/>
          </w:tcPr>
          <w:p>
            <w:r>
              <w:rPr>
                <w:rFonts w:hint="eastAsia"/>
              </w:rPr>
              <w:t>安装敷设不锈钢强弱桥架200~400mm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5343" w:type="dxa"/>
            <w:gridSpan w:val="2"/>
            <w:noWrap/>
            <w:vAlign w:val="center"/>
          </w:tcPr>
          <w:p>
            <w:r>
              <w:rPr>
                <w:rFonts w:hint="eastAsia"/>
              </w:rPr>
              <w:t>机房综合布线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5.1</w:t>
            </w:r>
          </w:p>
        </w:tc>
        <w:tc>
          <w:tcPr>
            <w:tcW w:w="766" w:type="dxa"/>
            <w:noWrap/>
            <w:vAlign w:val="center"/>
          </w:tcPr>
          <w:p>
            <w:r>
              <w:rPr>
                <w:rFonts w:hint="eastAsia"/>
              </w:rPr>
              <w:t>光缆</w:t>
            </w:r>
          </w:p>
        </w:tc>
        <w:tc>
          <w:tcPr>
            <w:tcW w:w="4577" w:type="dxa"/>
            <w:vAlign w:val="center"/>
          </w:tcPr>
          <w:p>
            <w:r>
              <w:rPr>
                <w:rFonts w:hint="eastAsia"/>
              </w:rPr>
              <w:t>24芯单模</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5.2</w:t>
            </w:r>
          </w:p>
        </w:tc>
        <w:tc>
          <w:tcPr>
            <w:tcW w:w="766" w:type="dxa"/>
            <w:noWrap/>
            <w:vAlign w:val="center"/>
          </w:tcPr>
          <w:p>
            <w:r>
              <w:rPr>
                <w:rFonts w:hint="eastAsia"/>
              </w:rPr>
              <w:t>光纤分配架</w:t>
            </w:r>
          </w:p>
        </w:tc>
        <w:tc>
          <w:tcPr>
            <w:tcW w:w="4577" w:type="dxa"/>
            <w:vAlign w:val="center"/>
          </w:tcPr>
          <w:p>
            <w:r>
              <w:rPr>
                <w:rFonts w:hint="eastAsia"/>
              </w:rPr>
              <w:t>24口单模光纤分配架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5.3</w:t>
            </w:r>
          </w:p>
        </w:tc>
        <w:tc>
          <w:tcPr>
            <w:tcW w:w="766" w:type="dxa"/>
            <w:noWrap/>
            <w:vAlign w:val="center"/>
          </w:tcPr>
          <w:p>
            <w:r>
              <w:rPr>
                <w:rFonts w:hint="eastAsia"/>
              </w:rPr>
              <w:t>网线</w:t>
            </w:r>
          </w:p>
        </w:tc>
        <w:tc>
          <w:tcPr>
            <w:tcW w:w="4577" w:type="dxa"/>
            <w:vAlign w:val="center"/>
          </w:tcPr>
          <w:p>
            <w:r>
              <w:rPr>
                <w:rFonts w:hint="eastAsia"/>
              </w:rPr>
              <w:t>六类网线，含机柜内敷设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5.4</w:t>
            </w:r>
          </w:p>
        </w:tc>
        <w:tc>
          <w:tcPr>
            <w:tcW w:w="766" w:type="dxa"/>
            <w:noWrap/>
            <w:vAlign w:val="center"/>
          </w:tcPr>
          <w:p>
            <w:r>
              <w:rPr>
                <w:rFonts w:hint="eastAsia"/>
              </w:rPr>
              <w:t>网络配线架</w:t>
            </w:r>
          </w:p>
        </w:tc>
        <w:tc>
          <w:tcPr>
            <w:tcW w:w="4577" w:type="dxa"/>
            <w:vAlign w:val="center"/>
          </w:tcPr>
          <w:p>
            <w:r>
              <w:rPr>
                <w:rFonts w:hint="eastAsia"/>
              </w:rPr>
              <w:t>24口，非屏蔽，六类（含模块）</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5.5</w:t>
            </w:r>
          </w:p>
        </w:tc>
        <w:tc>
          <w:tcPr>
            <w:tcW w:w="766" w:type="dxa"/>
            <w:noWrap/>
            <w:vAlign w:val="center"/>
          </w:tcPr>
          <w:p>
            <w:r>
              <w:rPr>
                <w:rFonts w:hint="eastAsia"/>
              </w:rPr>
              <w:t>理线架</w:t>
            </w:r>
          </w:p>
        </w:tc>
        <w:tc>
          <w:tcPr>
            <w:tcW w:w="4577" w:type="dxa"/>
            <w:vAlign w:val="center"/>
          </w:tcPr>
          <w:p>
            <w:r>
              <w:rPr>
                <w:rFonts w:hint="eastAsia"/>
              </w:rPr>
              <w:t>网络理线架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5.6</w:t>
            </w:r>
          </w:p>
        </w:tc>
        <w:tc>
          <w:tcPr>
            <w:tcW w:w="766" w:type="dxa"/>
            <w:vAlign w:val="center"/>
          </w:tcPr>
          <w:p>
            <w:r>
              <w:rPr>
                <w:rFonts w:hint="eastAsia"/>
              </w:rPr>
              <w:t>网络跳线</w:t>
            </w:r>
          </w:p>
        </w:tc>
        <w:tc>
          <w:tcPr>
            <w:tcW w:w="4577" w:type="dxa"/>
            <w:vAlign w:val="center"/>
          </w:tcPr>
          <w:p>
            <w:r>
              <w:rPr>
                <w:rFonts w:hint="eastAsia"/>
              </w:rPr>
              <w:t>4对六类非屏蔽软跳线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四</w:t>
            </w:r>
          </w:p>
        </w:tc>
        <w:tc>
          <w:tcPr>
            <w:tcW w:w="5343" w:type="dxa"/>
            <w:gridSpan w:val="2"/>
            <w:noWrap/>
            <w:vAlign w:val="center"/>
          </w:tcPr>
          <w:p>
            <w:r>
              <w:rPr>
                <w:rFonts w:hint="eastAsia"/>
              </w:rPr>
              <w:t>缉私局信息机房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noWrap/>
            <w:vAlign w:val="center"/>
          </w:tcPr>
          <w:p>
            <w:r>
              <w:rPr>
                <w:rFonts w:hint="eastAsia"/>
              </w:rPr>
              <w:t>模块化机柜</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1.1</w:t>
            </w:r>
          </w:p>
        </w:tc>
        <w:tc>
          <w:tcPr>
            <w:tcW w:w="766" w:type="dxa"/>
            <w:noWrap/>
            <w:vAlign w:val="center"/>
          </w:tcPr>
          <w:p>
            <w:r>
              <w:rPr>
                <w:rFonts w:hint="eastAsia"/>
              </w:rPr>
              <w:t>服务器机柜</w:t>
            </w:r>
          </w:p>
        </w:tc>
        <w:tc>
          <w:tcPr>
            <w:tcW w:w="4577" w:type="dxa"/>
            <w:vAlign w:val="center"/>
          </w:tcPr>
          <w:p>
            <w:r>
              <w:rPr>
                <w:rFonts w:hint="eastAsia"/>
              </w:rPr>
              <w:t>参数同上口岸信息机房“服务器机柜”</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766" w:type="dxa"/>
            <w:noWrap/>
            <w:vAlign w:val="center"/>
          </w:tcPr>
          <w:p>
            <w:r>
              <w:rPr>
                <w:rFonts w:hint="eastAsia"/>
              </w:rPr>
              <w:t>密闭通道组件</w:t>
            </w:r>
          </w:p>
        </w:tc>
        <w:tc>
          <w:tcPr>
            <w:tcW w:w="4577" w:type="dxa"/>
            <w:vAlign w:val="center"/>
          </w:tcPr>
          <w:p>
            <w:r>
              <w:rPr>
                <w:rFonts w:hint="eastAsia"/>
              </w:rPr>
              <w:t>参数同上口岸信息机房“密闭通道组件”</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1.3</w:t>
            </w:r>
          </w:p>
        </w:tc>
        <w:tc>
          <w:tcPr>
            <w:tcW w:w="766" w:type="dxa"/>
            <w:noWrap/>
            <w:vAlign w:val="center"/>
          </w:tcPr>
          <w:p>
            <w:r>
              <w:rPr>
                <w:rFonts w:hint="eastAsia"/>
              </w:rPr>
              <w:t>精密空调1</w:t>
            </w:r>
          </w:p>
        </w:tc>
        <w:tc>
          <w:tcPr>
            <w:tcW w:w="4577" w:type="dxa"/>
            <w:vAlign w:val="center"/>
          </w:tcPr>
          <w:p>
            <w:r>
              <w:rPr>
                <w:rFonts w:hint="eastAsia"/>
              </w:rPr>
              <w:t>参数同上口岸信息机房“精密空调1”</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1.4</w:t>
            </w:r>
          </w:p>
        </w:tc>
        <w:tc>
          <w:tcPr>
            <w:tcW w:w="766" w:type="dxa"/>
            <w:noWrap/>
            <w:vAlign w:val="center"/>
          </w:tcPr>
          <w:p>
            <w:r>
              <w:rPr>
                <w:rFonts w:hint="eastAsia"/>
              </w:rPr>
              <w:t>监控组件</w:t>
            </w:r>
          </w:p>
        </w:tc>
        <w:tc>
          <w:tcPr>
            <w:tcW w:w="4577" w:type="dxa"/>
            <w:vAlign w:val="center"/>
          </w:tcPr>
          <w:p>
            <w:r>
              <w:rPr>
                <w:rFonts w:hint="eastAsia"/>
              </w:rPr>
              <w:t>参数同上口岸信息机房“监控组件”</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1.5</w:t>
            </w:r>
          </w:p>
        </w:tc>
        <w:tc>
          <w:tcPr>
            <w:tcW w:w="766" w:type="dxa"/>
            <w:noWrap/>
            <w:vAlign w:val="center"/>
          </w:tcPr>
          <w:p>
            <w:r>
              <w:rPr>
                <w:rFonts w:hint="eastAsia"/>
              </w:rPr>
              <w:t>成套线缆</w:t>
            </w:r>
          </w:p>
        </w:tc>
        <w:tc>
          <w:tcPr>
            <w:tcW w:w="4577" w:type="dxa"/>
            <w:vAlign w:val="center"/>
          </w:tcPr>
          <w:p>
            <w:r>
              <w:rPr>
                <w:rFonts w:hint="eastAsia"/>
              </w:rPr>
              <w:t>微模块各个部件之间的功率线缆、信号线缆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noWrap/>
            <w:vAlign w:val="center"/>
          </w:tcPr>
          <w:p>
            <w:r>
              <w:rPr>
                <w:rFonts w:hint="eastAsia"/>
              </w:rPr>
              <w:t>供配电、UPS、空调</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2.1</w:t>
            </w:r>
          </w:p>
        </w:tc>
        <w:tc>
          <w:tcPr>
            <w:tcW w:w="766" w:type="dxa"/>
            <w:noWrap/>
            <w:vAlign w:val="center"/>
          </w:tcPr>
          <w:p>
            <w:r>
              <w:rPr>
                <w:rFonts w:hint="eastAsia"/>
              </w:rPr>
              <w:t>市电总配电柜</w:t>
            </w:r>
          </w:p>
        </w:tc>
        <w:tc>
          <w:tcPr>
            <w:tcW w:w="4577" w:type="dxa"/>
            <w:vAlign w:val="center"/>
          </w:tcPr>
          <w:p>
            <w:r>
              <w:rPr>
                <w:rFonts w:hint="eastAsia"/>
              </w:rPr>
              <w:t>含柜体、ATS切换开关、塑壳开关、电量仪、保护开关等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2.2</w:t>
            </w:r>
          </w:p>
        </w:tc>
        <w:tc>
          <w:tcPr>
            <w:tcW w:w="766" w:type="dxa"/>
            <w:noWrap/>
            <w:vAlign w:val="center"/>
          </w:tcPr>
          <w:p>
            <w:r>
              <w:rPr>
                <w:rFonts w:hint="eastAsia"/>
              </w:rPr>
              <w:t>UPS输出柜</w:t>
            </w:r>
          </w:p>
        </w:tc>
        <w:tc>
          <w:tcPr>
            <w:tcW w:w="4577" w:type="dxa"/>
            <w:vAlign w:val="center"/>
          </w:tcPr>
          <w:p>
            <w:r>
              <w:rPr>
                <w:rFonts w:hint="eastAsia"/>
              </w:rPr>
              <w:t>含柜体、电量仪、塑壳开关、微断开关、保护开关等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2.3</w:t>
            </w:r>
          </w:p>
        </w:tc>
        <w:tc>
          <w:tcPr>
            <w:tcW w:w="766" w:type="dxa"/>
            <w:noWrap/>
            <w:vAlign w:val="center"/>
          </w:tcPr>
          <w:p>
            <w:r>
              <w:rPr>
                <w:rFonts w:hint="eastAsia"/>
              </w:rPr>
              <w:t>电力电缆</w:t>
            </w:r>
          </w:p>
        </w:tc>
        <w:tc>
          <w:tcPr>
            <w:tcW w:w="4577" w:type="dxa"/>
            <w:vAlign w:val="center"/>
          </w:tcPr>
          <w:p>
            <w:r>
              <w:rPr>
                <w:rFonts w:hint="eastAsia"/>
              </w:rPr>
              <w:t>含主输入端电缆、输出电缆等</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restart"/>
            <w:noWrap/>
            <w:vAlign w:val="center"/>
          </w:tcPr>
          <w:p>
            <w:r>
              <w:rPr>
                <w:rFonts w:hint="eastAsia"/>
              </w:rPr>
              <w:t>2.4</w:t>
            </w:r>
          </w:p>
        </w:tc>
        <w:tc>
          <w:tcPr>
            <w:tcW w:w="766" w:type="dxa"/>
            <w:vMerge w:val="restart"/>
            <w:noWrap/>
            <w:vAlign w:val="center"/>
          </w:tcPr>
          <w:p>
            <w:r>
              <w:rPr>
                <w:rFonts w:hint="eastAsia"/>
              </w:rPr>
              <w:t>机房用UPS系统</w:t>
            </w:r>
          </w:p>
        </w:tc>
        <w:tc>
          <w:tcPr>
            <w:tcW w:w="4577" w:type="dxa"/>
            <w:vAlign w:val="center"/>
          </w:tcPr>
          <w:p>
            <w:r>
              <w:rPr>
                <w:rFonts w:hint="eastAsia"/>
              </w:rPr>
              <w:t xml:space="preserve">1、UPS应采用模块化设计，机框容量不低于60KVA，为节省空间，UPS主机应尽可能较少占地面积，尺寸不应大于600*860*2000mm（宽*深*高）；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2、UPS功率模块应≥25KVA，旁路模块与功率模块均应并持热插拔功能；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2.5</w:t>
            </w:r>
          </w:p>
        </w:tc>
        <w:tc>
          <w:tcPr>
            <w:tcW w:w="766" w:type="dxa"/>
            <w:noWrap/>
            <w:vAlign w:val="center"/>
          </w:tcPr>
          <w:p>
            <w:r>
              <w:rPr>
                <w:rFonts w:hint="eastAsia"/>
              </w:rPr>
              <w:t>蓄电池</w:t>
            </w:r>
          </w:p>
        </w:tc>
        <w:tc>
          <w:tcPr>
            <w:tcW w:w="4577" w:type="dxa"/>
            <w:vAlign w:val="center"/>
          </w:tcPr>
          <w:p>
            <w:r>
              <w:rPr>
                <w:rFonts w:hint="eastAsia"/>
              </w:rPr>
              <w:t>150AH/12V，铅酸蓄电池；</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2.6</w:t>
            </w:r>
          </w:p>
        </w:tc>
        <w:tc>
          <w:tcPr>
            <w:tcW w:w="766" w:type="dxa"/>
            <w:noWrap/>
            <w:vAlign w:val="center"/>
          </w:tcPr>
          <w:p>
            <w:r>
              <w:rPr>
                <w:rFonts w:hint="eastAsia"/>
              </w:rPr>
              <w:t>电池柜及电源线</w:t>
            </w:r>
          </w:p>
        </w:tc>
        <w:tc>
          <w:tcPr>
            <w:tcW w:w="4577" w:type="dxa"/>
            <w:vAlign w:val="center"/>
          </w:tcPr>
          <w:p>
            <w:r>
              <w:rPr>
                <w:rFonts w:hint="eastAsia"/>
              </w:rPr>
              <w:t>定制，规格1200*1100mm，含电池柜配套线缆辅料</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2.7</w:t>
            </w:r>
          </w:p>
        </w:tc>
        <w:tc>
          <w:tcPr>
            <w:tcW w:w="766" w:type="dxa"/>
            <w:noWrap/>
            <w:vAlign w:val="center"/>
          </w:tcPr>
          <w:p>
            <w:r>
              <w:rPr>
                <w:rFonts w:hint="eastAsia"/>
              </w:rPr>
              <w:t>精密空调2</w:t>
            </w:r>
          </w:p>
        </w:tc>
        <w:tc>
          <w:tcPr>
            <w:tcW w:w="4577" w:type="dxa"/>
            <w:vAlign w:val="center"/>
          </w:tcPr>
          <w:p>
            <w:r>
              <w:rPr>
                <w:rFonts w:hint="eastAsia"/>
              </w:rPr>
              <w:t>参数同上口岸信息机房“精密空调2”</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noWrap/>
            <w:vAlign w:val="center"/>
          </w:tcPr>
          <w:p>
            <w:r>
              <w:rPr>
                <w:rFonts w:hint="eastAsia"/>
              </w:rPr>
              <w:t>动环系统</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w:t>
            </w:r>
          </w:p>
        </w:tc>
        <w:tc>
          <w:tcPr>
            <w:tcW w:w="766" w:type="dxa"/>
            <w:noWrap/>
            <w:vAlign w:val="center"/>
          </w:tcPr>
          <w:p>
            <w:r>
              <w:rPr>
                <w:rFonts w:hint="eastAsia"/>
              </w:rPr>
              <w:t>机房动环监控系统</w:t>
            </w:r>
          </w:p>
        </w:tc>
        <w:tc>
          <w:tcPr>
            <w:tcW w:w="4577" w:type="dxa"/>
            <w:noWrap/>
            <w:vAlign w:val="center"/>
          </w:tcPr>
          <w:p>
            <w:r>
              <w:rPr>
                <w:rFonts w:hint="eastAsia"/>
              </w:rPr>
              <w:t xml:space="preserve">参数同上口岸信息机房“机房动环监控系统” </w:t>
            </w:r>
            <w:r>
              <w:rPr>
                <w:rFonts w:hint="eastAsia"/>
                <w:lang w:eastAsia="zh-CN"/>
              </w:rPr>
              <w:t>（</w:t>
            </w:r>
            <w:r>
              <w:rPr>
                <w:rFonts w:hint="eastAsia"/>
                <w:lang w:val="en-US" w:eastAsia="zh-CN"/>
              </w:rPr>
              <w:t>此处不重复扣分</w:t>
            </w:r>
            <w:r>
              <w:rPr>
                <w:rFonts w:hint="eastAsia"/>
                <w:lang w:eastAsia="zh-CN"/>
              </w:rPr>
              <w:t>）</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noWrap/>
            <w:vAlign w:val="center"/>
          </w:tcPr>
          <w:p>
            <w:r>
              <w:rPr>
                <w:rFonts w:hint="eastAsia"/>
              </w:rPr>
              <w:t>机房桥架</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vAlign w:val="center"/>
          </w:tcPr>
          <w:p>
            <w:r>
              <w:rPr>
                <w:rFonts w:hint="eastAsia"/>
              </w:rPr>
              <w:t>强电网格桥架</w:t>
            </w:r>
          </w:p>
        </w:tc>
        <w:tc>
          <w:tcPr>
            <w:tcW w:w="4577" w:type="dxa"/>
            <w:vAlign w:val="center"/>
          </w:tcPr>
          <w:p>
            <w:r>
              <w:rPr>
                <w:rFonts w:hint="eastAsia"/>
              </w:rPr>
              <w:t>安装敷设不锈钢强电桥架200~400mm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vAlign w:val="center"/>
          </w:tcPr>
          <w:p>
            <w:r>
              <w:rPr>
                <w:rFonts w:hint="eastAsia"/>
              </w:rPr>
              <w:t>弱电网格桥架</w:t>
            </w:r>
          </w:p>
        </w:tc>
        <w:tc>
          <w:tcPr>
            <w:tcW w:w="4577" w:type="dxa"/>
            <w:vAlign w:val="center"/>
          </w:tcPr>
          <w:p>
            <w:r>
              <w:rPr>
                <w:rFonts w:hint="eastAsia"/>
              </w:rPr>
              <w:t>安装敷设不锈钢强弱桥架200~400mm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5343" w:type="dxa"/>
            <w:gridSpan w:val="2"/>
            <w:noWrap/>
            <w:vAlign w:val="center"/>
          </w:tcPr>
          <w:p>
            <w:r>
              <w:rPr>
                <w:rFonts w:hint="eastAsia"/>
              </w:rPr>
              <w:t>机房综合布线</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5.1</w:t>
            </w:r>
          </w:p>
        </w:tc>
        <w:tc>
          <w:tcPr>
            <w:tcW w:w="766" w:type="dxa"/>
            <w:noWrap/>
            <w:vAlign w:val="center"/>
          </w:tcPr>
          <w:p>
            <w:r>
              <w:rPr>
                <w:rFonts w:hint="eastAsia"/>
              </w:rPr>
              <w:t>网线</w:t>
            </w:r>
          </w:p>
        </w:tc>
        <w:tc>
          <w:tcPr>
            <w:tcW w:w="4577" w:type="dxa"/>
            <w:vAlign w:val="center"/>
          </w:tcPr>
          <w:p>
            <w:r>
              <w:rPr>
                <w:rFonts w:hint="eastAsia"/>
              </w:rPr>
              <w:t>六类网线，含机柜内敷设</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5.2</w:t>
            </w:r>
          </w:p>
        </w:tc>
        <w:tc>
          <w:tcPr>
            <w:tcW w:w="766" w:type="dxa"/>
            <w:noWrap/>
            <w:vAlign w:val="center"/>
          </w:tcPr>
          <w:p>
            <w:r>
              <w:rPr>
                <w:rFonts w:hint="eastAsia"/>
              </w:rPr>
              <w:t>网络配线架</w:t>
            </w:r>
          </w:p>
        </w:tc>
        <w:tc>
          <w:tcPr>
            <w:tcW w:w="4577" w:type="dxa"/>
            <w:vAlign w:val="center"/>
          </w:tcPr>
          <w:p>
            <w:r>
              <w:rPr>
                <w:rFonts w:hint="eastAsia"/>
              </w:rPr>
              <w:t>24口，非屏蔽，六类（含模块）</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5.3</w:t>
            </w:r>
          </w:p>
        </w:tc>
        <w:tc>
          <w:tcPr>
            <w:tcW w:w="766" w:type="dxa"/>
            <w:noWrap/>
            <w:vAlign w:val="center"/>
          </w:tcPr>
          <w:p>
            <w:r>
              <w:rPr>
                <w:rFonts w:hint="eastAsia"/>
              </w:rPr>
              <w:t>理线架</w:t>
            </w:r>
          </w:p>
        </w:tc>
        <w:tc>
          <w:tcPr>
            <w:tcW w:w="4577" w:type="dxa"/>
            <w:vAlign w:val="center"/>
          </w:tcPr>
          <w:p>
            <w:r>
              <w:rPr>
                <w:rFonts w:hint="eastAsia"/>
              </w:rPr>
              <w:t>网络理线架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5.4</w:t>
            </w:r>
          </w:p>
        </w:tc>
        <w:tc>
          <w:tcPr>
            <w:tcW w:w="766" w:type="dxa"/>
            <w:vAlign w:val="center"/>
          </w:tcPr>
          <w:p>
            <w:r>
              <w:rPr>
                <w:rFonts w:hint="eastAsia"/>
              </w:rPr>
              <w:t>网络跳线</w:t>
            </w:r>
          </w:p>
        </w:tc>
        <w:tc>
          <w:tcPr>
            <w:tcW w:w="4577" w:type="dxa"/>
            <w:vAlign w:val="center"/>
          </w:tcPr>
          <w:p>
            <w:r>
              <w:rPr>
                <w:rFonts w:hint="eastAsia"/>
              </w:rPr>
              <w:t>4对六类非屏蔽软跳线</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五</w:t>
            </w:r>
          </w:p>
        </w:tc>
        <w:tc>
          <w:tcPr>
            <w:tcW w:w="766" w:type="dxa"/>
            <w:vAlign w:val="center"/>
          </w:tcPr>
          <w:p>
            <w:r>
              <w:rPr>
                <w:rFonts w:hint="eastAsia"/>
              </w:rPr>
              <w:t>楼层设备间</w:t>
            </w:r>
          </w:p>
        </w:tc>
        <w:tc>
          <w:tcPr>
            <w:tcW w:w="4577" w:type="dxa"/>
            <w:vAlign w:val="center"/>
          </w:tcPr>
          <w:p>
            <w:r>
              <w:rPr>
                <w:rFonts w:hint="eastAsia"/>
              </w:rPr>
              <w:t>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766" w:type="dxa"/>
            <w:vAlign w:val="center"/>
          </w:tcPr>
          <w:p>
            <w:r>
              <w:rPr>
                <w:rFonts w:hint="eastAsia"/>
              </w:rPr>
              <w:t>网络机柜</w:t>
            </w:r>
          </w:p>
        </w:tc>
        <w:tc>
          <w:tcPr>
            <w:tcW w:w="4577" w:type="dxa"/>
            <w:vAlign w:val="center"/>
          </w:tcPr>
          <w:p>
            <w:r>
              <w:rPr>
                <w:rFonts w:hint="eastAsia"/>
              </w:rPr>
              <w:t>42U网络机柜规格（W*D*H）：800mm*1000mm*2000mm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766" w:type="dxa"/>
            <w:vAlign w:val="center"/>
          </w:tcPr>
          <w:p>
            <w:r>
              <w:rPr>
                <w:rFonts w:hint="eastAsia"/>
              </w:rPr>
              <w:t>网络桥架</w:t>
            </w:r>
          </w:p>
        </w:tc>
        <w:tc>
          <w:tcPr>
            <w:tcW w:w="4577" w:type="dxa"/>
            <w:vAlign w:val="center"/>
          </w:tcPr>
          <w:p>
            <w:r>
              <w:rPr>
                <w:rFonts w:hint="eastAsia"/>
              </w:rPr>
              <w:t>安装敷设不锈钢强弱桥架，宽400mm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766" w:type="dxa"/>
            <w:vAlign w:val="center"/>
          </w:tcPr>
          <w:p>
            <w:r>
              <w:rPr>
                <w:rFonts w:hint="eastAsia"/>
              </w:rPr>
              <w:t>静电地板</w:t>
            </w:r>
          </w:p>
        </w:tc>
        <w:tc>
          <w:tcPr>
            <w:tcW w:w="4577" w:type="dxa"/>
            <w:vAlign w:val="center"/>
          </w:tcPr>
          <w:p>
            <w:r>
              <w:rPr>
                <w:rFonts w:hint="eastAsia"/>
              </w:rPr>
              <w:t>600*600*32mm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766" w:type="dxa"/>
            <w:vAlign w:val="center"/>
          </w:tcPr>
          <w:p>
            <w:r>
              <w:rPr>
                <w:rFonts w:hint="eastAsia"/>
              </w:rPr>
              <w:t>气体消防</w:t>
            </w:r>
          </w:p>
        </w:tc>
        <w:tc>
          <w:tcPr>
            <w:tcW w:w="4577" w:type="dxa"/>
            <w:vAlign w:val="center"/>
          </w:tcPr>
          <w:p>
            <w:r>
              <w:rPr>
                <w:rFonts w:hint="eastAsia"/>
              </w:rPr>
              <w:t>30L</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5</w:t>
            </w:r>
          </w:p>
        </w:tc>
        <w:tc>
          <w:tcPr>
            <w:tcW w:w="766" w:type="dxa"/>
            <w:vAlign w:val="center"/>
          </w:tcPr>
          <w:p>
            <w:r>
              <w:rPr>
                <w:rFonts w:hint="eastAsia"/>
              </w:rPr>
              <w:t>其他辅材</w:t>
            </w:r>
          </w:p>
        </w:tc>
        <w:tc>
          <w:tcPr>
            <w:tcW w:w="4577" w:type="dxa"/>
            <w:vAlign w:val="center"/>
          </w:tcPr>
          <w:p>
            <w:r>
              <w:rPr>
                <w:rFonts w:hint="eastAsia"/>
              </w:rPr>
              <w:t>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899" w:type="dxa"/>
            <w:gridSpan w:val="3"/>
            <w:vAlign w:val="center"/>
          </w:tcPr>
          <w:p>
            <w:r>
              <w:rPr>
                <w:rFonts w:hint="eastAsia"/>
              </w:rPr>
              <w:t>第三部分：信息网络及光缆</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899" w:type="dxa"/>
            <w:gridSpan w:val="3"/>
            <w:noWrap/>
            <w:vAlign w:val="center"/>
          </w:tcPr>
          <w:p>
            <w:r>
              <w:rPr>
                <w:rFonts w:hint="eastAsia"/>
              </w:rPr>
              <w:t>一、网络设备及信息安全</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w:t>
            </w:r>
          </w:p>
        </w:tc>
        <w:tc>
          <w:tcPr>
            <w:tcW w:w="5343" w:type="dxa"/>
            <w:gridSpan w:val="2"/>
            <w:noWrap/>
            <w:vAlign w:val="center"/>
          </w:tcPr>
          <w:p>
            <w:r>
              <w:rPr>
                <w:rFonts w:hint="eastAsia"/>
              </w:rPr>
              <w:t>口岸办网络设备</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1.1</w:t>
            </w:r>
          </w:p>
        </w:tc>
        <w:tc>
          <w:tcPr>
            <w:tcW w:w="5343" w:type="dxa"/>
            <w:gridSpan w:val="2"/>
            <w:noWrap/>
            <w:vAlign w:val="center"/>
          </w:tcPr>
          <w:p>
            <w:r>
              <w:rPr>
                <w:rFonts w:hint="eastAsia"/>
              </w:rPr>
              <w:t>政务外网</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1.1.1</w:t>
            </w:r>
          </w:p>
        </w:tc>
        <w:tc>
          <w:tcPr>
            <w:tcW w:w="766" w:type="dxa"/>
            <w:vMerge w:val="restart"/>
            <w:noWrap/>
            <w:vAlign w:val="center"/>
          </w:tcPr>
          <w:p>
            <w:r>
              <w:rPr>
                <w:rFonts w:hint="eastAsia"/>
              </w:rPr>
              <w:t>核心交换机</w:t>
            </w:r>
          </w:p>
        </w:tc>
        <w:tc>
          <w:tcPr>
            <w:tcW w:w="4577" w:type="dxa"/>
            <w:vAlign w:val="center"/>
          </w:tcPr>
          <w:p>
            <w:pPr>
              <w:rPr>
                <w:rFonts w:ascii="宋体" w:hAnsi="宋体" w:cs="宋体"/>
                <w:color w:val="000000"/>
                <w:kern w:val="0"/>
                <w:szCs w:val="21"/>
              </w:rPr>
            </w:pPr>
            <w:r>
              <w:rPr>
                <w:rFonts w:hint="eastAsia"/>
              </w:rPr>
              <w:t>★1、交换容量≥387Tbps；包转发率≥115200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rPr>
            </w:pPr>
            <w:r>
              <w:rPr>
                <w:rFonts w:hint="eastAsia"/>
                <w:b/>
                <w:bCs/>
                <w:color w:val="FF0000"/>
              </w:rPr>
              <w:t>▲3、交换机采用的交换芯片为投标品牌自研国产化芯片，要求提供第三方</w:t>
            </w:r>
            <w:r>
              <w:rPr>
                <w:rFonts w:hint="eastAsia"/>
                <w:b/>
                <w:bCs/>
                <w:color w:val="FF0000"/>
                <w:lang w:val="en-US" w:eastAsia="zh-CN"/>
              </w:rPr>
              <w:t>检测机构出具的</w:t>
            </w:r>
            <w:r>
              <w:rPr>
                <w:rFonts w:hint="eastAsia"/>
                <w:b/>
                <w:bCs/>
                <w:color w:val="FF0000"/>
              </w:rPr>
              <w:t>检测报告</w:t>
            </w:r>
            <w:r>
              <w:rPr>
                <w:rFonts w:hint="eastAsia"/>
                <w:b/>
                <w:bCs/>
                <w:color w:val="FF0000"/>
                <w:lang w:val="en-US" w:eastAsia="zh-CN"/>
              </w:rPr>
              <w:t>扫描件，原件备查</w:t>
            </w:r>
            <w:r>
              <w:rPr>
                <w:rFonts w:hint="eastAsia"/>
                <w:b/>
                <w:bCs/>
                <w:color w:val="FF0000"/>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4、支持220V交流、48V直流、380V高压直流供电</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5、支持VxLAN功能，支持同一个VxLAN网络内不同三层网段互通，支持不同VxLAN网络互通，支持VxLAN网络与非VxLAN网络互通，支持EVPN路由传递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6、支持4K VLAN、PVLAN、QinQ,STP、RSTP、MSTP生成树协议,SNMP V1/V2/V3、Telnet、SSHv2,CPU防攻击、ICMP Flood攻击防范、UDP Flood攻击防范、TCP SYN Flood攻击防范、Smurf攻击防护,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7、支持IPv4/IPv6双栈，支持IPv6地址、ICMPv6、UDP6/TCP6、DNSv6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b/>
                <w:bCs/>
                <w:color w:val="FF0000"/>
              </w:rPr>
              <w:t>▲8、支持ERPS环网保护协议，端到端30ms硬件级倒换，提供第三方测试报告相关内容截图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9、支持MPLS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1.1.2</w:t>
            </w:r>
          </w:p>
        </w:tc>
        <w:tc>
          <w:tcPr>
            <w:tcW w:w="766" w:type="dxa"/>
            <w:vMerge w:val="restart"/>
            <w:noWrap/>
            <w:vAlign w:val="center"/>
          </w:tcPr>
          <w:p>
            <w:r>
              <w:rPr>
                <w:rFonts w:hint="eastAsia"/>
              </w:rPr>
              <w:t>汇聚交换机</w:t>
            </w:r>
          </w:p>
        </w:tc>
        <w:tc>
          <w:tcPr>
            <w:tcW w:w="4577" w:type="dxa"/>
            <w:vAlign w:val="center"/>
          </w:tcPr>
          <w:p>
            <w:pPr>
              <w:rPr>
                <w:rFonts w:ascii="宋体" w:hAnsi="宋体" w:cs="宋体"/>
                <w:color w:val="000000"/>
                <w:kern w:val="0"/>
                <w:szCs w:val="21"/>
              </w:rPr>
            </w:pPr>
            <w:r>
              <w:rPr>
                <w:rFonts w:hint="eastAsia"/>
              </w:rPr>
              <w:t>★1、交换容量≥4.8Tbps，包转发率≥2000Mpps；网络端口：48×10GE SFP+端口，6×40GE/100GE QSFP28端口；光模块：4个10GE多模模块，配置1根≥5米的40G QSFP+ to 40GQSFP+ 线缆，配置电源≥2个</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b/>
                <w:bCs/>
                <w:color w:val="FF0000"/>
                <w:kern w:val="0"/>
                <w:szCs w:val="21"/>
              </w:rPr>
            </w:pPr>
            <w:r>
              <w:rPr>
                <w:rFonts w:hint="eastAsia"/>
              </w:rPr>
              <w:t>▲2、交换芯片、CPU采用国产芯片</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3、支持静态路由、RIPv1/v2、OSPFv2、ISIS、BGP4、IPv4 uRPF,静态路由For IPv6、RIPng、OSPFv3、ISISv6、BGP4+ For IPv6、IPv6 uRPF</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kern w:val="0"/>
                <w:szCs w:val="21"/>
              </w:rPr>
            </w:pPr>
            <w:r>
              <w:rPr>
                <w:rFonts w:hint="eastAsia"/>
              </w:rPr>
              <w:t>4、支持风扇模块≥4，保证设备散热效果和可靠性，支持严格的前进后出风道</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kern w:val="0"/>
                <w:szCs w:val="21"/>
              </w:rPr>
            </w:pPr>
            <w:r>
              <w:rPr>
                <w:rFonts w:hint="eastAsia"/>
              </w:rPr>
              <w:t>5、支持MC-LAG功能,Netconf功能,VxLAN隧道 over IPv6,VXLAN二层网关，VXLAN三层网关,EVPN VXLAN功能测试，ARP广播抑制功能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kern w:val="0"/>
                <w:szCs w:val="21"/>
              </w:rPr>
            </w:pPr>
            <w:r>
              <w:rPr>
                <w:rFonts w:hint="eastAsia"/>
              </w:rPr>
              <w:t>6、支持 IPv6 over IPv4 VXLAN隧道,3.3ms高性能BFD，实现快速保护切换和快速收敛</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7、支持VSC堆叠功能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8、支持Telemetry功能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ascii="宋体" w:hAnsi="宋体" w:cs="宋体"/>
                <w:color w:val="000000"/>
                <w:kern w:val="0"/>
                <w:szCs w:val="21"/>
              </w:rPr>
            </w:pPr>
            <w:r>
              <w:rPr>
                <w:rFonts w:hint="eastAsia"/>
              </w:rPr>
              <w:t>9、支持Netflow功能</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1.1.3</w:t>
            </w:r>
          </w:p>
        </w:tc>
        <w:tc>
          <w:tcPr>
            <w:tcW w:w="766" w:type="dxa"/>
            <w:vMerge w:val="restart"/>
            <w:noWrap/>
            <w:vAlign w:val="center"/>
          </w:tcPr>
          <w:p>
            <w:r>
              <w:rPr>
                <w:rFonts w:hint="eastAsia"/>
              </w:rPr>
              <w:t>下一代防火墙</w:t>
            </w:r>
          </w:p>
        </w:tc>
        <w:tc>
          <w:tcPr>
            <w:tcW w:w="4577" w:type="dxa"/>
            <w:vAlign w:val="center"/>
          </w:tcPr>
          <w:p>
            <w:r>
              <w:rPr>
                <w:rFonts w:hint="eastAsia"/>
              </w:rPr>
              <w:t>▲1、内存≥32G，硬盘≥1T，1个MGMT口，一个HA口,冗余电源,防火墙吞吐≥60G，并发连接≥2000万，每秒新建连接≥42万，应用层吞吐量≥48G， IPSEC VPN吞吐≥3G，IPSEC VPN隧道数≥2000，SSL VPN吞吐≥2.5G，SSL VPN并发用户数≥5000 。≥8个万兆光口，≥8电口，≥4个千兆光口；含三年硬件维保服务。含应用识别、URL过滤、病毒防护、入侵防御、威胁情报检测、IPSec VPN。含三年应用识别库、</w:t>
            </w:r>
            <w:r>
              <w:rPr>
                <w:rFonts w:hint="eastAsia" w:ascii="Times New Roman" w:hAnsi="Times New Roman"/>
                <w:color w:val="454545"/>
                <w:sz w:val="21"/>
                <w:szCs w:val="24"/>
                <w:shd w:val="clear" w:color="auto" w:fill="FFFFFF"/>
              </w:rPr>
              <w:t>病毒库升级服务许可</w:t>
            </w:r>
            <w:r>
              <w:rPr>
                <w:rFonts w:hint="eastAsia"/>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2、路由交换支持RIP、OSPF、BGP4、PIM-SM、PIM-DM；</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3、支持IP/MAC绑定，支持跨三层绑定，支持IP/MAC绑定表导入导出，以便对IP/MAC绑定关系进行批量操作；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rPr>
              <w:t>▲4、支持一体化安全策略配置，可以通过一条策略实现五元组、源MAC、源地区、目的地区、域名、应用、服务、时间、长连接、IPS、AV、URL过滤、高级威胁防护、WAF、邮件安全、数据过滤、文件过滤、僵木蠕防御、审计、数据库防护、防代理、APT功能配置,简化用户管理；（应提供截图证明，并提供第三方</w:t>
            </w:r>
            <w:r>
              <w:rPr>
                <w:rFonts w:hint="eastAsia"/>
                <w:b/>
                <w:bCs/>
                <w:color w:val="FF0000"/>
                <w:lang w:val="en-US" w:eastAsia="zh-CN"/>
              </w:rPr>
              <w:t>检测机构出具的能体现以上</w:t>
            </w:r>
            <w:r>
              <w:rPr>
                <w:rFonts w:hint="eastAsia"/>
                <w:b/>
                <w:bCs/>
                <w:color w:val="FF0000"/>
              </w:rPr>
              <w:t>功能</w:t>
            </w:r>
            <w:r>
              <w:rPr>
                <w:rFonts w:hint="eastAsia"/>
                <w:b/>
                <w:bCs/>
                <w:color w:val="FF0000"/>
                <w:lang w:eastAsia="zh-CN"/>
              </w:rPr>
              <w:t>的</w:t>
            </w:r>
            <w:r>
              <w:rPr>
                <w:rFonts w:hint="eastAsia"/>
                <w:b/>
                <w:bCs/>
                <w:color w:val="FF0000"/>
              </w:rPr>
              <w:t>检测报告扫描件</w:t>
            </w:r>
            <w:r>
              <w:rPr>
                <w:rFonts w:hint="eastAsia"/>
                <w:b/>
                <w:bCs/>
                <w:color w:val="FF0000"/>
                <w:lang w:val="en-US" w:eastAsia="zh-CN"/>
              </w:rPr>
              <w:t>，原件备查</w:t>
            </w:r>
            <w:r>
              <w:rPr>
                <w:rFonts w:hint="eastAsia"/>
                <w:b/>
                <w:bCs/>
                <w:color w:val="FF0000"/>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t>5</w:t>
            </w:r>
            <w:r>
              <w:rPr>
                <w:rFonts w:hint="eastAsia"/>
              </w:rPr>
              <w:t>、支持域名控制，支持对多级域名进行控制，域名对象支持通配符；</w:t>
            </w:r>
          </w:p>
        </w:tc>
        <w:tc>
          <w:tcPr>
            <w:tcW w:w="1050" w:type="dxa"/>
            <w:vAlign w:val="center"/>
          </w:tcPr>
          <w:p/>
        </w:tc>
        <w:tc>
          <w:tcPr>
            <w:tcW w:w="773" w:type="dxa"/>
            <w:vAlign w:val="center"/>
          </w:tcPr>
          <w:p/>
        </w:tc>
        <w:tc>
          <w:tcPr>
            <w:tcW w:w="8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rPr>
            </w:pPr>
            <w:r>
              <w:rPr>
                <w:rFonts w:hint="eastAsia"/>
                <w:b/>
                <w:bCs/>
                <w:color w:val="FF0000"/>
              </w:rPr>
              <w:t>▲6、提供策略分析功能，支持策略命中分析、策略冗余分析、策略冲突检查、策略包含分析、宽泛策略分析，可在WEB界面显示检测结果；（提供截图证明）</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rPr>
            </w:pPr>
            <w:r>
              <w:rPr>
                <w:rFonts w:hint="eastAsia"/>
                <w:b/>
                <w:bCs/>
                <w:color w:val="FF0000"/>
              </w:rPr>
              <w:t>▲7、支持针对IP、ICMP、TCP、UDP、DNS、HTTP、HTTPS、SIP、NTP等协议进行DDOS防护；支持预定义和自定义策略模板；（提供截图证明）</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rFonts w:hint="eastAsia"/>
                <w:b/>
                <w:bCs/>
                <w:color w:val="FF0000"/>
              </w:rPr>
            </w:pPr>
            <w:r>
              <w:rPr>
                <w:rFonts w:hint="eastAsia"/>
                <w:b/>
                <w:bCs/>
                <w:color w:val="FF0000"/>
              </w:rPr>
              <w:t>▲8、支持防盗链、防爬虫、CSRF防护功能；（提供证明截图）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9、网络接入支持RADVD、ND、RIPng、OSPFv3、BGP4+，支持IPv6静态、动态组播路由；</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1.1.4</w:t>
            </w:r>
          </w:p>
        </w:tc>
        <w:tc>
          <w:tcPr>
            <w:tcW w:w="766" w:type="dxa"/>
            <w:vMerge w:val="restart"/>
            <w:noWrap/>
            <w:vAlign w:val="center"/>
          </w:tcPr>
          <w:p>
            <w:r>
              <w:rPr>
                <w:rFonts w:hint="eastAsia"/>
              </w:rPr>
              <w:t>入侵防御设备IPS</w:t>
            </w:r>
          </w:p>
        </w:tc>
        <w:tc>
          <w:tcPr>
            <w:tcW w:w="4577" w:type="dxa"/>
            <w:vAlign w:val="center"/>
          </w:tcPr>
          <w:p>
            <w:r>
              <w:rPr>
                <w:rFonts w:hint="eastAsia"/>
              </w:rPr>
              <w:t>▲1、内存≥64G，冗余电源，整机吞吐率≥20Gbps，最大并发连接数≥1000万，IPS吞吐率≥10Gbps，≥8个10/100/1000M自适应电口，≥4个千兆光口，≥6个万兆光口；≥1个Console口；≥1T硬盘；含三年硬件维保服务。含三年攻击检测规则库、应用识别库、地理信息库，3年僵尸主机规则库升级许可。</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pPr>
              <w:rPr>
                <w:color w:val="FF0000"/>
              </w:rPr>
            </w:pPr>
            <w:r>
              <w:rPr>
                <w:rFonts w:hint="eastAsia"/>
                <w:b/>
                <w:bCs/>
                <w:color w:val="FF0000"/>
              </w:rPr>
              <w:t>▲2、异常流量检测支持DGA域名检测，采用DGA智慧引擎进行检测，用户可设置敏感度；（提供产品截图证明）</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w:t>
            </w:r>
            <w:r>
              <w:rPr>
                <w:szCs w:val="18"/>
              </w:rPr>
              <w:t>DDoS检测内置百兆、千兆、万兆的W</w:t>
            </w:r>
            <w:r>
              <w:rPr>
                <w:rFonts w:hint="eastAsia"/>
                <w:szCs w:val="18"/>
              </w:rPr>
              <w:t>eb</w:t>
            </w:r>
            <w:r>
              <w:rPr>
                <w:szCs w:val="18"/>
              </w:rPr>
              <w:t>服务器、DNS授权服务器、DNS缓存服务器、</w:t>
            </w:r>
            <w:r>
              <w:rPr>
                <w:rFonts w:hint="eastAsia"/>
                <w:szCs w:val="18"/>
              </w:rPr>
              <w:t>FTP</w:t>
            </w:r>
            <w:r>
              <w:rPr>
                <w:szCs w:val="18"/>
              </w:rPr>
              <w:t>服务器等不同应用场景下的DDoS检测模板。支持对模板导入</w:t>
            </w:r>
            <w:r>
              <w:rPr>
                <w:rFonts w:hint="eastAsia"/>
                <w:szCs w:val="18"/>
              </w:rPr>
              <w:t>、</w:t>
            </w:r>
            <w:r>
              <w:rPr>
                <w:szCs w:val="18"/>
              </w:rPr>
              <w:t>导出等操作</w:t>
            </w:r>
            <w:r>
              <w:rPr>
                <w:rFonts w:hint="eastAsia"/>
                <w:szCs w:val="18"/>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rPr>
              <w:t>▲4、支持对传统协议元数据提取，包括TCP/UDP、ICMP、HTTP、SMTP、POP3、IMAP、WEBMAIL、FTP、SMB、NFS、文件、MYSQL、MSSQL、ORACLE、POSTGRESQL、DB2、REDIS、MONGODB、达梦、南大通用、人大金仓、SSL、RDP、DNS、SNMP、TFTP、IKEV2、LDAP、SIP、SSDP、SOCKS4、SOCKS5、AFP、VNC、SSH、DHCP、RADIUS、NTP、认证、SPICE、FEIQ、WAP协议；（提供产品截图证明）</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5、提供综合性的流量审计功能，可深入内容层提取元数据信息，包括传统网络协议、工控网协议、物联网协议、车联网协议、VPN协议、移动网协议等60余种流量类型；</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6、</w:t>
            </w:r>
            <w:r>
              <w:t>支持独立的攻击检测引擎，涵盖12000种以上的攻击检测规则库。规则库支持按照攻击类型、操作系统、风险等级、应用类型、流行程度等方式进行分类</w:t>
            </w:r>
            <w:r>
              <w:rPr>
                <w:rFonts w:hint="eastAsia"/>
              </w:rPr>
              <w:t>；</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7、支持对多种应用类型进行攻击检测防御，包括WEB应用、文件传输、邮件、数据库、远程访问、远程过程调用、工控、路由、基础服务、加密等多种业务。并对规则可设置相应警告、阻断动作；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8、支持统计攻击事件次数、阻断次数、受害主机个数、攻击主机个数；可展示攻击事件Top10、受害主机Top10、攻击类型分布、应用类型分布、攻击趋势；能够按照攻击事件、受害主机、攻击主机进行排名；</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rPr>
              <w:t>▲9、产品具有中国信息安全测评中心颁发的《国家信息安全测评信息技术产品安全测评证书》（EAL3+级）。（提供</w:t>
            </w:r>
            <w:r>
              <w:rPr>
                <w:rFonts w:hint="eastAsia"/>
                <w:b/>
                <w:bCs/>
                <w:color w:val="FF0000"/>
                <w:lang w:val="en-US" w:eastAsia="zh-CN"/>
              </w:rPr>
              <w:t>证书扫描件，原件备查</w:t>
            </w:r>
            <w:r>
              <w:rPr>
                <w:rFonts w:hint="eastAsia"/>
                <w:b/>
                <w:bCs/>
                <w:color w:val="FF0000"/>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1.1.5</w:t>
            </w:r>
          </w:p>
        </w:tc>
        <w:tc>
          <w:tcPr>
            <w:tcW w:w="766" w:type="dxa"/>
            <w:vMerge w:val="restart"/>
            <w:noWrap/>
            <w:vAlign w:val="center"/>
          </w:tcPr>
          <w:p>
            <w:r>
              <w:rPr>
                <w:rFonts w:hint="eastAsia"/>
              </w:rPr>
              <w:t>上网行为管理</w:t>
            </w:r>
          </w:p>
        </w:tc>
        <w:tc>
          <w:tcPr>
            <w:tcW w:w="4577" w:type="dxa"/>
            <w:vAlign w:val="center"/>
          </w:tcPr>
          <w:p>
            <w:r>
              <w:rPr>
                <w:rFonts w:hint="eastAsia"/>
              </w:rPr>
              <w:t>▲1、1个console口，2个USB接口，≥2个千兆电口，≥2个万兆光口插槽，其中千兆电口中包含一个HA口，一个MGMT口,冗余电源，网络吞吐量≥20G， 最大并发连接数&gt;1200万 用户数≥150000人 硬盘存储2T 设备内存64G；含三年系统版本，URL库及应用特征库升级许可升级更新和三年维保服务；</w:t>
            </w:r>
            <w:r>
              <w:t xml:space="preserve">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2、可对接入的移动终端区分出IOS终端、安卓终端，并可以根据所区分出的终端类型设置告警和拒绝动作；</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3、支持通过指纹识别用户身份，并对用户做控制；</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rPr>
              <w:t>▲4、支持分离互联网和自定义特殊网域，实现一个用户同时只能访问一个网域；可支持自定义8个网络区域（7个自定义区域+互联网区域）；可支持根据域名划分网络区域；（应提供截图证明，并提供第三方</w:t>
            </w:r>
            <w:r>
              <w:rPr>
                <w:rFonts w:hint="eastAsia"/>
                <w:b/>
                <w:bCs/>
                <w:color w:val="FF0000"/>
                <w:lang w:val="en-US" w:eastAsia="zh-CN"/>
              </w:rPr>
              <w:t>检测机构出具的能体现以上</w:t>
            </w:r>
            <w:r>
              <w:rPr>
                <w:rFonts w:hint="eastAsia"/>
                <w:b/>
                <w:bCs/>
                <w:color w:val="FF0000"/>
              </w:rPr>
              <w:t>功能</w:t>
            </w:r>
            <w:r>
              <w:rPr>
                <w:rFonts w:hint="eastAsia"/>
                <w:b/>
                <w:bCs/>
                <w:color w:val="FF0000"/>
                <w:lang w:eastAsia="zh-CN"/>
              </w:rPr>
              <w:t>的</w:t>
            </w:r>
            <w:r>
              <w:rPr>
                <w:rFonts w:hint="eastAsia"/>
                <w:b/>
                <w:bCs/>
                <w:color w:val="FF0000"/>
              </w:rPr>
              <w:t>测试报告扫描件</w:t>
            </w:r>
            <w:r>
              <w:rPr>
                <w:rFonts w:hint="eastAsia"/>
                <w:b/>
                <w:bCs/>
                <w:color w:val="FF0000"/>
                <w:lang w:val="en-US" w:eastAsia="zh-CN"/>
              </w:rPr>
              <w:t>，原件备查</w:t>
            </w:r>
            <w:r>
              <w:rPr>
                <w:rFonts w:hint="eastAsia"/>
                <w:b/>
                <w:bCs/>
                <w:color w:val="FF0000"/>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5、可根据预设总带宽，实时智能识别策略匹配上线用户，并依照预设总带宽将流量对匹配用户进行智能平均分配；</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b/>
                <w:bCs/>
                <w:color w:val="FF0000"/>
              </w:rPr>
              <w:t>▲6、产品具有中华人民共和国工业和信息化部《电信设备进网许可证》。（提供证书扫描件</w:t>
            </w:r>
            <w:r>
              <w:rPr>
                <w:rFonts w:hint="eastAsia"/>
                <w:b/>
                <w:bCs/>
                <w:color w:val="FF0000"/>
                <w:lang w:val="en-US" w:eastAsia="zh-CN"/>
              </w:rPr>
              <w:t>，原件备查</w:t>
            </w:r>
            <w:r>
              <w:rPr>
                <w:rFonts w:hint="eastAsia"/>
                <w:b/>
                <w:bCs/>
                <w:color w:val="FF0000"/>
              </w:rPr>
              <w:t>）</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1.2</w:t>
            </w:r>
          </w:p>
        </w:tc>
        <w:tc>
          <w:tcPr>
            <w:tcW w:w="5343" w:type="dxa"/>
            <w:gridSpan w:val="2"/>
            <w:noWrap/>
            <w:vAlign w:val="center"/>
          </w:tcPr>
          <w:p>
            <w:r>
              <w:rPr>
                <w:rFonts w:hint="eastAsia"/>
              </w:rPr>
              <w:t>视频网</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1.2.1</w:t>
            </w:r>
          </w:p>
        </w:tc>
        <w:tc>
          <w:tcPr>
            <w:tcW w:w="766" w:type="dxa"/>
            <w:vMerge w:val="restart"/>
            <w:noWrap/>
            <w:vAlign w:val="center"/>
          </w:tcPr>
          <w:p>
            <w:r>
              <w:rPr>
                <w:rFonts w:hint="eastAsia"/>
              </w:rPr>
              <w:t>核心交换机</w:t>
            </w:r>
          </w:p>
        </w:tc>
        <w:tc>
          <w:tcPr>
            <w:tcW w:w="4577" w:type="dxa"/>
            <w:vAlign w:val="center"/>
          </w:tcPr>
          <w:p>
            <w:r>
              <w:rPr>
                <w:rFonts w:hint="eastAsia"/>
              </w:rPr>
              <w:t>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3、支持虚拟化堆叠，最大支持4台物理设备虚拟成1台；</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b/>
                <w:bCs/>
                <w:color w:val="FF0000"/>
              </w:rPr>
            </w:pPr>
            <w:r>
              <w:rPr>
                <w:rFonts w:hint="eastAsia"/>
                <w:b/>
                <w:bCs/>
                <w:color w:val="FF0000"/>
              </w:rPr>
              <w:t>4、▲交换机采用的交换芯片为投标品牌自研国产化芯片，要求提供第三方检测报告扫描件</w:t>
            </w:r>
            <w:r>
              <w:rPr>
                <w:rFonts w:hint="eastAsia"/>
                <w:b/>
                <w:bCs/>
                <w:color w:val="FF0000"/>
                <w:lang w:val="en-US" w:eastAsia="zh-CN"/>
              </w:rPr>
              <w:t>，原件备查</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b/>
                <w:bCs/>
                <w:color w:val="FF0000"/>
              </w:rPr>
            </w:pPr>
            <w:r>
              <w:rPr>
                <w:rFonts w:hint="eastAsia"/>
                <w:b/>
                <w:bCs/>
                <w:color w:val="FF0000"/>
              </w:rPr>
              <w:t>5、▲支持Telemetry协议，实时采集设备数据，提供第三方测试报告相关内容截图；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6、支持220V交流、48V直流、380V高压直流供电；支持VxLAN功能，支持同一个VxLAN网络内不同三层网段互通，支持不同VxLAN网络互通，支持VxLAN网络与非VxLAN网络互通，支持EVPN路由传递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w:t>
            </w:r>
          </w:p>
        </w:tc>
        <w:tc>
          <w:tcPr>
            <w:tcW w:w="5343" w:type="dxa"/>
            <w:gridSpan w:val="2"/>
            <w:noWrap/>
            <w:vAlign w:val="center"/>
          </w:tcPr>
          <w:p>
            <w:r>
              <w:rPr>
                <w:rFonts w:hint="eastAsia"/>
              </w:rPr>
              <w:t>海关网络设备</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56" w:type="dxa"/>
            <w:vMerge w:val="restart"/>
            <w:noWrap/>
            <w:vAlign w:val="center"/>
          </w:tcPr>
          <w:p>
            <w:r>
              <w:rPr>
                <w:rFonts w:hint="eastAsia"/>
              </w:rPr>
              <w:t>2.1</w:t>
            </w:r>
          </w:p>
        </w:tc>
        <w:tc>
          <w:tcPr>
            <w:tcW w:w="766" w:type="dxa"/>
            <w:vMerge w:val="restart"/>
            <w:noWrap/>
            <w:vAlign w:val="center"/>
          </w:tcPr>
          <w:p>
            <w:r>
              <w:rPr>
                <w:rFonts w:hint="eastAsia"/>
              </w:rPr>
              <w:t>汇聚交换机（管理网）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3.▲交换机采用的交换芯片为投标品牌自研国产化芯片，要求提供第三方检测报告扫描件</w:t>
            </w:r>
            <w:r>
              <w:rPr>
                <w:rFonts w:hint="eastAsia"/>
                <w:b/>
                <w:bCs/>
                <w:color w:val="FF0000"/>
                <w:lang w:val="en-US" w:eastAsia="zh-CN"/>
              </w:rPr>
              <w:t>，原件备查</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4.支持ERPS环网保护协议，端到端30ms硬件级倒换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6、支持IPv4/IPv6双栈，支持IPv6地址、ICMPv6、UDP6/TCP6、DNSv6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7、支持MPLS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8、支持MPLS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56" w:type="dxa"/>
            <w:vMerge w:val="restart"/>
            <w:noWrap/>
            <w:vAlign w:val="center"/>
          </w:tcPr>
          <w:p>
            <w:r>
              <w:rPr>
                <w:rFonts w:hint="eastAsia"/>
              </w:rPr>
              <w:t>2.2</w:t>
            </w:r>
          </w:p>
        </w:tc>
        <w:tc>
          <w:tcPr>
            <w:tcW w:w="766" w:type="dxa"/>
            <w:vMerge w:val="restart"/>
            <w:noWrap/>
            <w:vAlign w:val="center"/>
          </w:tcPr>
          <w:p>
            <w:r>
              <w:rPr>
                <w:rFonts w:hint="eastAsia"/>
              </w:rPr>
              <w:t>汇聚交换机（运行网）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eastAsia="宋体"/>
                <w:lang w:val="en-US" w:eastAsia="zh-CN"/>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3、▲支持虚拟化堆叠，最大支持4台物理设备虚拟成1台，提供第三方测试报告相关内容截图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b/>
                <w:bCs/>
              </w:rPr>
            </w:pPr>
            <w:r>
              <w:rPr>
                <w:rFonts w:hint="eastAsia"/>
                <w:b/>
                <w:bCs/>
                <w:color w:val="FF0000"/>
              </w:rPr>
              <w:t>4、▲支持ERPS环网保护协议，端到端30ms硬件级倒换，提供第三方测试报告相关内容截图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b/>
                <w:bCs/>
              </w:rPr>
            </w:pPr>
            <w:r>
              <w:rPr>
                <w:rFonts w:hint="eastAsia"/>
              </w:rPr>
              <w:t>5、支持IPv4/IPv6双栈，支持IPv6地址、ICMPv6、UDP6/TCP6、DNSv6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6、支持220V交流、48V直流、380V高压直流供电；支持VxLAN功能，支持同一个VxLAN网络内不同三层网段互通，支持不同VxLAN网络互通，支持VxLAN网络与非VxLAN网络互通，支持EVPN路由传递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7、支持4K VLAN、PVLAN、QinQ,STP、RSTP、MSTP生成树协议,SNMP V1/V2/V3、Telnet、SSHv2,CPU防攻击、ICMP Flood攻击防范、UDP Flood攻击防范、TCP SYN Flood攻击防范、Smurf攻击防护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56" w:type="dxa"/>
            <w:vMerge w:val="restart"/>
            <w:noWrap/>
            <w:vAlign w:val="center"/>
          </w:tcPr>
          <w:p>
            <w:r>
              <w:rPr>
                <w:rFonts w:hint="eastAsia"/>
              </w:rPr>
              <w:t>2.3</w:t>
            </w:r>
          </w:p>
        </w:tc>
        <w:tc>
          <w:tcPr>
            <w:tcW w:w="766" w:type="dxa"/>
            <w:vMerge w:val="restart"/>
            <w:noWrap/>
            <w:vAlign w:val="center"/>
          </w:tcPr>
          <w:p>
            <w:r>
              <w:rPr>
                <w:rFonts w:hint="eastAsia"/>
              </w:rPr>
              <w:t>汇聚交换机（H986网）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3.支持虚拟化堆叠，最大支持4台物理设备虚拟成1台，提供第三方测试报告相关内容截图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4.▲交换机采用的交换芯片为投标品牌自研国产化芯片，要求提供第三方检测报告扫描件</w:t>
            </w:r>
            <w:r>
              <w:rPr>
                <w:rFonts w:hint="eastAsia"/>
                <w:b/>
                <w:bCs/>
                <w:color w:val="FF0000"/>
                <w:lang w:val="en-US" w:eastAsia="zh-CN"/>
              </w:rPr>
              <w:t>，原件备查</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6、支持4K VLAN、PVLAN、QinQ,STP、RSTP、MSTP生成树协议,SNMP V1/V2/V3、Telnet、SSHv2,CPU防攻击、ICMP Flood攻击防范、UDP Flood攻击防范、TCP SYN Flood攻击防范、Smurf攻击防护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7、支持IPv4/IPv6双栈，支持IPv6地址、ICMPv6、UDP6/TCP6、DNSv6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8、支持MPLS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2.4</w:t>
            </w:r>
          </w:p>
        </w:tc>
        <w:tc>
          <w:tcPr>
            <w:tcW w:w="766" w:type="dxa"/>
            <w:noWrap/>
            <w:vAlign w:val="center"/>
          </w:tcPr>
          <w:p>
            <w:r>
              <w:rPr>
                <w:rFonts w:hint="eastAsia"/>
              </w:rPr>
              <w:t>汇聚交换机（视频网）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一、网络设备及信息安全/1.口岸办网络设备/1.2视频网/1.2.1“</w:t>
            </w:r>
            <w:r>
              <w:rPr>
                <w:rFonts w:hint="eastAsia" w:ascii="宋体" w:hAnsi="宋体" w:cs="宋体"/>
                <w:color w:val="000000"/>
                <w:kern w:val="0"/>
                <w:szCs w:val="21"/>
              </w:rPr>
              <w:t>核心交换机”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vMerge w:val="restart"/>
            <w:noWrap/>
            <w:vAlign w:val="center"/>
          </w:tcPr>
          <w:p>
            <w:r>
              <w:rPr>
                <w:rFonts w:hint="eastAsia"/>
              </w:rPr>
              <w:t>2.5</w:t>
            </w:r>
          </w:p>
        </w:tc>
        <w:tc>
          <w:tcPr>
            <w:tcW w:w="766" w:type="dxa"/>
            <w:vMerge w:val="restart"/>
            <w:noWrap/>
            <w:vAlign w:val="center"/>
          </w:tcPr>
          <w:p>
            <w:r>
              <w:rPr>
                <w:rFonts w:hint="eastAsia"/>
              </w:rPr>
              <w:t>汇聚交换机（互联网）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3、▲支持虚拟化堆叠，最大支持4台物理设备虚拟成1台，提供第三方测试报告相关内容截图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4、▲交换机采用的交换芯片为投标品牌自研国产化芯片，要求提供第三方检测报告扫描件</w:t>
            </w:r>
            <w:r>
              <w:rPr>
                <w:rFonts w:hint="eastAsia"/>
                <w:b/>
                <w:bCs/>
                <w:color w:val="FF0000"/>
                <w:lang w:val="en-US" w:eastAsia="zh-CN"/>
              </w:rPr>
              <w:t>，原件备查</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5、支持ERPS环网保护协议，端到端30ms硬件级倒换；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6、支持220V交流、48V直流、380V高压直流供电；支持VxLAN功能，支持同一个VxLAN网络内不同三层网段互通，支持不同VxLAN网络互通，支持VxLAN网络与非VxLAN网络互通，支持EVPN路由传递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7、支持IPv4/IPv6双栈，支持IPv6地址、ICMPv6、UDP6/TCP6、DNSv6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56" w:type="dxa"/>
            <w:shd w:val="clear" w:color="auto" w:fill="auto"/>
            <w:noWrap/>
            <w:vAlign w:val="center"/>
          </w:tcPr>
          <w:p>
            <w:r>
              <w:rPr>
                <w:rFonts w:hint="eastAsia"/>
              </w:rPr>
              <w:t>2.6</w:t>
            </w:r>
          </w:p>
        </w:tc>
        <w:tc>
          <w:tcPr>
            <w:tcW w:w="766" w:type="dxa"/>
            <w:shd w:val="clear" w:color="000000" w:fill="FFFFFF"/>
            <w:vAlign w:val="center"/>
          </w:tcPr>
          <w:p>
            <w:r>
              <w:rPr>
                <w:rFonts w:hint="eastAsia"/>
              </w:rPr>
              <w:t>下一代防火墙（互联网）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一、网络设备及信息安全/1.口岸办网络设备/1.1政务外网/1.1.3“</w:t>
            </w:r>
            <w:r>
              <w:rPr>
                <w:rFonts w:hint="eastAsia" w:ascii="宋体" w:hAnsi="宋体" w:cs="宋体"/>
                <w:color w:val="000000"/>
                <w:kern w:val="0"/>
                <w:szCs w:val="21"/>
              </w:rPr>
              <w:t>下一代防火墙”。</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auto" w:fill="auto"/>
            <w:noWrap/>
            <w:vAlign w:val="center"/>
          </w:tcPr>
          <w:p>
            <w:r>
              <w:rPr>
                <w:rFonts w:hint="eastAsia"/>
              </w:rPr>
              <w:t>2.7</w:t>
            </w:r>
          </w:p>
        </w:tc>
        <w:tc>
          <w:tcPr>
            <w:tcW w:w="766" w:type="dxa"/>
            <w:shd w:val="clear" w:color="000000" w:fill="FFFFFF"/>
            <w:vAlign w:val="center"/>
          </w:tcPr>
          <w:p>
            <w:r>
              <w:rPr>
                <w:rFonts w:hint="eastAsia"/>
              </w:rPr>
              <w:t>入侵防御设备IPS（互联网）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一、网络设备及信息安全/1.口岸办网络设备/1.1政务外网/1.1.4“</w:t>
            </w:r>
            <w:r>
              <w:rPr>
                <w:rFonts w:hint="eastAsia" w:ascii="宋体" w:hAnsi="宋体" w:cs="宋体"/>
                <w:color w:val="000000"/>
                <w:kern w:val="0"/>
                <w:szCs w:val="21"/>
              </w:rPr>
              <w:t>入侵防御设备IPS”。</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6" w:type="dxa"/>
            <w:shd w:val="clear" w:color="auto" w:fill="auto"/>
            <w:noWrap/>
            <w:vAlign w:val="center"/>
          </w:tcPr>
          <w:p>
            <w:r>
              <w:rPr>
                <w:rFonts w:hint="eastAsia"/>
              </w:rPr>
              <w:t>2.8</w:t>
            </w:r>
          </w:p>
        </w:tc>
        <w:tc>
          <w:tcPr>
            <w:tcW w:w="766" w:type="dxa"/>
            <w:shd w:val="clear" w:color="000000" w:fill="FFFFFF"/>
            <w:vAlign w:val="center"/>
          </w:tcPr>
          <w:p>
            <w:r>
              <w:rPr>
                <w:rFonts w:hint="eastAsia"/>
              </w:rPr>
              <w:t>上网行为管理（互联网）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一、网络设备及信息安全/1.口岸办网络设备/1.1政务外网/1.1.5“</w:t>
            </w:r>
            <w:r>
              <w:rPr>
                <w:rFonts w:hint="eastAsia" w:ascii="宋体" w:hAnsi="宋体" w:cs="宋体"/>
                <w:color w:val="000000"/>
                <w:kern w:val="0"/>
                <w:szCs w:val="21"/>
              </w:rPr>
              <w:t>上网行为管理”。</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2.9</w:t>
            </w:r>
          </w:p>
        </w:tc>
        <w:tc>
          <w:tcPr>
            <w:tcW w:w="766" w:type="dxa"/>
            <w:vMerge w:val="restart"/>
            <w:noWrap/>
            <w:vAlign w:val="center"/>
          </w:tcPr>
          <w:p>
            <w:r>
              <w:rPr>
                <w:rFonts w:hint="eastAsia"/>
              </w:rPr>
              <w:t>语音程控交换机（语音网）</w:t>
            </w:r>
          </w:p>
        </w:tc>
        <w:tc>
          <w:tcPr>
            <w:tcW w:w="4577" w:type="dxa"/>
            <w:vAlign w:val="center"/>
          </w:tcPr>
          <w:p>
            <w:r>
              <w:rPr>
                <w:rFonts w:hint="eastAsia"/>
              </w:rPr>
              <w:t>1、支持MGCP、SIP、H.323等VoIP协议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2、支持多达6000个电话或3400个数字电话包括FlexAir无线和IP端口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 xml:space="preserve">2.10 </w:t>
            </w:r>
          </w:p>
        </w:tc>
        <w:tc>
          <w:tcPr>
            <w:tcW w:w="766" w:type="dxa"/>
            <w:vMerge w:val="restart"/>
            <w:noWrap/>
            <w:vAlign w:val="center"/>
          </w:tcPr>
          <w:p>
            <w:r>
              <w:rPr>
                <w:rFonts w:hint="eastAsia"/>
              </w:rPr>
              <w:t>综合接入设备</w:t>
            </w:r>
          </w:p>
        </w:tc>
        <w:tc>
          <w:tcPr>
            <w:tcW w:w="4577" w:type="dxa"/>
            <w:vAlign w:val="center"/>
          </w:tcPr>
          <w:p>
            <w:r>
              <w:rPr>
                <w:rFonts w:hint="eastAsia"/>
              </w:rPr>
              <w:t xml:space="preserve">1、端口 RJ11型POTS：16/32 路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2、RJ45以太网口：1路上行接口，3路下行接口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3、提供1路 网络协议 MGCP/SIP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4、RS232本地维护串口(console)：</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w:t>
            </w:r>
          </w:p>
        </w:tc>
        <w:tc>
          <w:tcPr>
            <w:tcW w:w="5343" w:type="dxa"/>
            <w:gridSpan w:val="2"/>
            <w:noWrap/>
            <w:vAlign w:val="center"/>
          </w:tcPr>
          <w:p>
            <w:r>
              <w:rPr>
                <w:rFonts w:hint="eastAsia"/>
              </w:rPr>
              <w:t>边检网络设备</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6" w:type="dxa"/>
            <w:vMerge w:val="restart"/>
            <w:noWrap/>
            <w:vAlign w:val="center"/>
          </w:tcPr>
          <w:p>
            <w:r>
              <w:rPr>
                <w:rFonts w:hint="eastAsia"/>
              </w:rPr>
              <w:t>3.1</w:t>
            </w:r>
          </w:p>
        </w:tc>
        <w:tc>
          <w:tcPr>
            <w:tcW w:w="766" w:type="dxa"/>
            <w:vMerge w:val="restart"/>
            <w:noWrap/>
            <w:vAlign w:val="center"/>
          </w:tcPr>
          <w:p>
            <w:r>
              <w:rPr>
                <w:rFonts w:hint="eastAsia"/>
              </w:rPr>
              <w:t>汇聚交换机（公安网）</w:t>
            </w:r>
          </w:p>
        </w:tc>
        <w:tc>
          <w:tcPr>
            <w:tcW w:w="4577" w:type="dxa"/>
            <w:vAlign w:val="center"/>
          </w:tcPr>
          <w:p>
            <w:r>
              <w:rPr>
                <w:rFonts w:hint="eastAsia"/>
              </w:rPr>
              <w:t>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2、支持4K VLAN、PVLAN、QinQ,STP、RSTP、MSTP生成树协议,SNMP V1/V2/V3、Telnet、SSHv2,CPU防攻击、ICMP Flood攻击防范、UDP Flood攻击防范、TCP SYN Flood攻击防范、Smurf攻击防护</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 xml:space="preserve">3、▲支持ERPS环网保护协议，端到端30ms硬件级倒换，提供第三方测试报告相关内容截图 </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4、▲交换机采用NP可编程架构，提供第三方测试报告相关内容截图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5、▲支持虚拟化堆叠，最大支持4台物理设备虚拟成1台，提供第三方测试报告相关内容截图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6、支持IPv4/IPv6双栈，支持IPv6地址、ICMPv6、UDP6/TCP6、DNSv6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7、支持220V交流、48V直流、380V高压直流供电；支持VxLAN功能，支持同一个VxLAN网络内不同三层网段互通，支持不同VxLAN网络互通，支持VxLAN网络与非VxLAN网络互通，支持EVPN路由传递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6" w:type="dxa"/>
            <w:vMerge w:val="restart"/>
            <w:noWrap/>
            <w:vAlign w:val="center"/>
          </w:tcPr>
          <w:p>
            <w:r>
              <w:rPr>
                <w:rFonts w:hint="eastAsia"/>
              </w:rPr>
              <w:t>3.2</w:t>
            </w:r>
          </w:p>
        </w:tc>
        <w:tc>
          <w:tcPr>
            <w:tcW w:w="766" w:type="dxa"/>
            <w:vMerge w:val="restart"/>
            <w:noWrap/>
            <w:vAlign w:val="center"/>
          </w:tcPr>
          <w:p>
            <w:r>
              <w:rPr>
                <w:rFonts w:hint="eastAsia"/>
              </w:rPr>
              <w:t>汇聚交换机（业务网）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2.▲支持ERPS环网保护协议，端到端30ms硬件级倒换，提供第三方测试报告相关内容截图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3.▲支持虚拟化堆叠，最大支持4台物理设备虚拟成1台，提供第三方测试报告相关内容截图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b/>
                <w:bCs/>
                <w:color w:val="FF0000"/>
              </w:rPr>
              <w:t>4.▲交换机采用NP可编程架构，提供第三方测试报告相关内容截图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pPr>
              <w:rPr>
                <w:rFonts w:hint="eastAsia"/>
              </w:rPr>
            </w:pPr>
          </w:p>
        </w:tc>
        <w:tc>
          <w:tcPr>
            <w:tcW w:w="766" w:type="dxa"/>
            <w:vMerge w:val="continue"/>
            <w:noWrap/>
            <w:vAlign w:val="center"/>
          </w:tcPr>
          <w:p>
            <w:pPr>
              <w:rPr>
                <w:rFonts w:hint="eastAsia"/>
              </w:rPr>
            </w:pPr>
          </w:p>
        </w:tc>
        <w:tc>
          <w:tcPr>
            <w:tcW w:w="4577" w:type="dxa"/>
            <w:vAlign w:val="center"/>
          </w:tcPr>
          <w:p>
            <w:pPr>
              <w:rPr>
                <w:rFonts w:hint="eastAsia"/>
              </w:rPr>
            </w:pPr>
            <w:r>
              <w:rPr>
                <w:rFonts w:hint="eastAsia"/>
              </w:rPr>
              <w:t>6.支持MPLS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7.支持MPLS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56" w:type="dxa"/>
            <w:vMerge w:val="restart"/>
            <w:noWrap/>
            <w:vAlign w:val="center"/>
          </w:tcPr>
          <w:p>
            <w:r>
              <w:rPr>
                <w:rFonts w:hint="eastAsia"/>
              </w:rPr>
              <w:t>3.3</w:t>
            </w:r>
          </w:p>
        </w:tc>
        <w:tc>
          <w:tcPr>
            <w:tcW w:w="766" w:type="dxa"/>
            <w:vMerge w:val="restart"/>
            <w:noWrap/>
            <w:vAlign w:val="center"/>
          </w:tcPr>
          <w:p>
            <w:r>
              <w:rPr>
                <w:rFonts w:hint="eastAsia"/>
              </w:rPr>
              <w:t>汇聚交换机（梅沙网）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3.▲支持Telemetry协议，实时采集设备数据，提供第三方测试报告相关内容截图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4.支持ERPS环网保护协议，端到端30ms硬件级倒换；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5、支持220V交流、48V直流、380V高压直流供电；支持VxLAN功能，支持同一个VxLAN网络内不同三层网段互通，支持不同VxLAN网络互通，支持VxLAN网络与非VxLAN网络互通，支持EVPN路由传递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6、支持IPv4/IPv6双栈，支持IPv6地址、ICMPv6、UDP6/TCP6、DNSv6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7、支持MPLS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8、支持MPLS L3VPN、MPLS L2VPN - VPLS、MPLS L2VPN - VPWS,Link ACL、IPv4 ACL、IPv6 ACL、ACL VLAN绑定,SP队列调度，支持SP+WRR队列调度，支持端口入口限速，流量监管，CAR丢弃策略，端口流量整形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6" w:type="dxa"/>
            <w:vMerge w:val="restart"/>
            <w:noWrap/>
            <w:vAlign w:val="center"/>
          </w:tcPr>
          <w:p>
            <w:r>
              <w:rPr>
                <w:rFonts w:hint="eastAsia"/>
              </w:rPr>
              <w:t>3.4</w:t>
            </w:r>
          </w:p>
        </w:tc>
        <w:tc>
          <w:tcPr>
            <w:tcW w:w="766" w:type="dxa"/>
            <w:vMerge w:val="restart"/>
            <w:noWrap/>
            <w:vAlign w:val="center"/>
          </w:tcPr>
          <w:p>
            <w:r>
              <w:rPr>
                <w:rFonts w:hint="eastAsia"/>
              </w:rPr>
              <w:t>汇聚交换机（视频网）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3、支持虚拟化堆叠，最大支持4台物理设备虚拟成1台；</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default" w:eastAsia="宋体"/>
                <w:lang w:val="en-US" w:eastAsia="zh-CN"/>
              </w:rPr>
            </w:pPr>
            <w:r>
              <w:rPr>
                <w:rFonts w:hint="eastAsia"/>
                <w:b/>
                <w:bCs/>
                <w:color w:val="FF0000"/>
              </w:rPr>
              <w:t>4、▲交换机采用的交换芯片为投标品牌自研国产化芯片，要求提供第三方</w:t>
            </w:r>
            <w:r>
              <w:rPr>
                <w:rFonts w:hint="eastAsia"/>
                <w:b/>
                <w:bCs/>
                <w:color w:val="FF0000"/>
                <w:lang w:val="en-US" w:eastAsia="zh-CN"/>
              </w:rPr>
              <w:t>检测机构出具的</w:t>
            </w:r>
            <w:r>
              <w:rPr>
                <w:rFonts w:hint="eastAsia"/>
                <w:b/>
                <w:bCs/>
                <w:color w:val="FF0000"/>
              </w:rPr>
              <w:t>检测报告</w:t>
            </w:r>
            <w:r>
              <w:rPr>
                <w:rFonts w:hint="eastAsia"/>
                <w:b/>
                <w:bCs/>
                <w:color w:val="FF0000"/>
                <w:lang w:val="en-US" w:eastAsia="zh-CN"/>
              </w:rPr>
              <w:t>扫描件，原件备查</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5、▲支持Telemetry协议，实时采集设备数据，提供第三方测试报告相关内容截图；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6、支持220V交流、48V直流、380V高压直流供电；支持VxLAN功能，支持同一个VxLAN网络内不同三层网段互通，支持不同VxLAN网络互通，支持VxLAN网络与非VxLAN网络互通，支持EVPN路由传递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3.5</w:t>
            </w:r>
          </w:p>
        </w:tc>
        <w:tc>
          <w:tcPr>
            <w:tcW w:w="766" w:type="dxa"/>
            <w:noWrap/>
            <w:vAlign w:val="center"/>
          </w:tcPr>
          <w:p>
            <w:r>
              <w:rPr>
                <w:rFonts w:hint="eastAsia"/>
              </w:rPr>
              <w:t>汇聚交换机</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一、网络设备及信息安全/1.口岸办网络设备/1.1政务外网/“</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3.6</w:t>
            </w:r>
          </w:p>
        </w:tc>
        <w:tc>
          <w:tcPr>
            <w:tcW w:w="766" w:type="dxa"/>
            <w:vMerge w:val="restart"/>
            <w:noWrap/>
            <w:vAlign w:val="center"/>
          </w:tcPr>
          <w:p>
            <w:r>
              <w:rPr>
                <w:rFonts w:hint="eastAsia"/>
              </w:rPr>
              <w:t>语音程控交换机（语音网）</w:t>
            </w:r>
          </w:p>
        </w:tc>
        <w:tc>
          <w:tcPr>
            <w:tcW w:w="4577" w:type="dxa"/>
            <w:vAlign w:val="center"/>
          </w:tcPr>
          <w:p>
            <w:r>
              <w:rPr>
                <w:rFonts w:hint="eastAsia"/>
              </w:rPr>
              <w:t>1、支持MGCP、SIP、H.323等VoIP协议</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2、支持多达6000个电话或3400个数字电话包括FlexAir无线和IP端口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3.7</w:t>
            </w:r>
          </w:p>
        </w:tc>
        <w:tc>
          <w:tcPr>
            <w:tcW w:w="766" w:type="dxa"/>
            <w:vMerge w:val="restart"/>
            <w:noWrap/>
            <w:vAlign w:val="center"/>
          </w:tcPr>
          <w:p>
            <w:r>
              <w:rPr>
                <w:rFonts w:hint="eastAsia"/>
              </w:rPr>
              <w:t>综合接入设备</w:t>
            </w:r>
          </w:p>
        </w:tc>
        <w:tc>
          <w:tcPr>
            <w:tcW w:w="4577" w:type="dxa"/>
            <w:vAlign w:val="center"/>
          </w:tcPr>
          <w:p>
            <w:r>
              <w:rPr>
                <w:rFonts w:hint="eastAsia"/>
              </w:rPr>
              <w:t xml:space="preserve">1、端口 RJ11型POTS：16/32 路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2、RJ45以太网口：1路上行接口，3路下行接口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3、提供1路 网络协议 MGCP/SIP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4、RS232本地维护串口(console)：</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56" w:type="dxa"/>
            <w:vMerge w:val="restart"/>
            <w:noWrap/>
            <w:vAlign w:val="center"/>
          </w:tcPr>
          <w:p>
            <w:r>
              <w:rPr>
                <w:rFonts w:hint="eastAsia"/>
              </w:rPr>
              <w:t>3.8</w:t>
            </w:r>
          </w:p>
        </w:tc>
        <w:tc>
          <w:tcPr>
            <w:tcW w:w="766" w:type="dxa"/>
            <w:vMerge w:val="restart"/>
            <w:noWrap/>
            <w:vAlign w:val="center"/>
          </w:tcPr>
          <w:p>
            <w:r>
              <w:rPr>
                <w:rFonts w:hint="eastAsia"/>
              </w:rPr>
              <w:t>汇聚交换机（互联网）</w:t>
            </w:r>
          </w:p>
        </w:tc>
        <w:tc>
          <w:tcPr>
            <w:tcW w:w="4577" w:type="dxa"/>
            <w:vAlign w:val="center"/>
          </w:tcPr>
          <w:p>
            <w:r>
              <w:rPr>
                <w:rFonts w:hint="eastAsia"/>
              </w:rPr>
              <w:t xml:space="preserve">1、★交换容量≥387Tbps；包转发率≥115200 Mpps；主控和交换分离，主控引擎≥2个，交换网板≥2个；整机业务板槽位≥4个，配置双主控，满配交换网板，千兆以太网电接口≥48，千兆以太网光接口≥32，万兆以太网光接口≥16，配置电源≥2个,配置2根≥7米的SFP+线缆。含万兆多模光模块4个、千兆多模光模块10个；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2、▲交换机采用NP可编程架构，提供第三方测试报告相关内容截图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3、▲支持虚拟化堆叠，最大支持4台物理设备虚拟成1台，提供第三方测试报告相关内容截图</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b/>
                <w:bCs/>
                <w:color w:val="FF0000"/>
              </w:rPr>
              <w:t>4、▲交换机采用的交换芯片为投标品牌自研国产化芯片，要求提供第三方</w:t>
            </w:r>
            <w:r>
              <w:rPr>
                <w:rFonts w:hint="eastAsia"/>
                <w:b/>
                <w:bCs/>
                <w:color w:val="FF0000"/>
                <w:lang w:val="en-US" w:eastAsia="zh-CN"/>
              </w:rPr>
              <w:t>检测机构出具的</w:t>
            </w:r>
            <w:r>
              <w:rPr>
                <w:rFonts w:hint="eastAsia"/>
                <w:b/>
                <w:bCs/>
                <w:color w:val="FF0000"/>
              </w:rPr>
              <w:t>检测报告</w:t>
            </w:r>
            <w:r>
              <w:rPr>
                <w:rFonts w:hint="eastAsia"/>
                <w:b/>
                <w:bCs/>
                <w:color w:val="FF0000"/>
                <w:lang w:val="en-US" w:eastAsia="zh-CN"/>
              </w:rPr>
              <w:t>扫描件，原件备查</w:t>
            </w:r>
          </w:p>
        </w:tc>
        <w:tc>
          <w:tcPr>
            <w:tcW w:w="1050" w:type="dxa"/>
            <w:vAlign w:val="center"/>
          </w:tcPr>
          <w:p>
            <w:pPr>
              <w:rPr>
                <w:rFonts w:hint="eastAsia"/>
                <w:b/>
                <w:bCs/>
                <w:color w:val="FF0000"/>
              </w:rPr>
            </w:pPr>
          </w:p>
        </w:tc>
        <w:tc>
          <w:tcPr>
            <w:tcW w:w="773" w:type="dxa"/>
            <w:vAlign w:val="center"/>
          </w:tcPr>
          <w:p>
            <w:pPr>
              <w:rPr>
                <w:rFonts w:hint="eastAsia"/>
                <w:b/>
                <w:bCs/>
                <w:color w:val="FF0000"/>
              </w:rPr>
            </w:pPr>
          </w:p>
        </w:tc>
        <w:tc>
          <w:tcPr>
            <w:tcW w:w="807" w:type="dxa"/>
            <w:vAlign w:val="center"/>
          </w:tcPr>
          <w:p>
            <w:pPr>
              <w:rPr>
                <w:rFonts w:hint="eastAsia"/>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b/>
                <w:bCs/>
              </w:rPr>
            </w:pPr>
            <w:r>
              <w:rPr>
                <w:rFonts w:hint="eastAsia"/>
              </w:rPr>
              <w:t>5、支持ERPS环网保护协议，端到端30ms硬件级倒换；</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Merge w:val="continue"/>
            <w:noWrap/>
            <w:vAlign w:val="center"/>
          </w:tcPr>
          <w:p/>
        </w:tc>
        <w:tc>
          <w:tcPr>
            <w:tcW w:w="766" w:type="dxa"/>
            <w:vMerge w:val="continue"/>
            <w:noWrap/>
            <w:vAlign w:val="center"/>
          </w:tcPr>
          <w:p/>
        </w:tc>
        <w:tc>
          <w:tcPr>
            <w:tcW w:w="4577" w:type="dxa"/>
            <w:vAlign w:val="center"/>
          </w:tcPr>
          <w:p>
            <w:pPr>
              <w:rPr>
                <w:rFonts w:hint="eastAsia"/>
              </w:rPr>
            </w:pPr>
            <w:r>
              <w:rPr>
                <w:rFonts w:hint="eastAsia"/>
              </w:rPr>
              <w:t>6、支持220V交流、48V直流、380V高压直流供电5、支持VxLAN功能，支持同一个VxLAN网络内不同三层网段互通，支持不同VxLAN网络互通，支持VxLAN网络与非VxLAN网络互通，支持EVPN路由传递</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56" w:type="dxa"/>
            <w:vMerge w:val="continue"/>
            <w:noWrap/>
            <w:vAlign w:val="center"/>
          </w:tcPr>
          <w:p/>
        </w:tc>
        <w:tc>
          <w:tcPr>
            <w:tcW w:w="766" w:type="dxa"/>
            <w:vMerge w:val="continue"/>
            <w:noWrap/>
            <w:vAlign w:val="center"/>
          </w:tcPr>
          <w:p/>
        </w:tc>
        <w:tc>
          <w:tcPr>
            <w:tcW w:w="4577" w:type="dxa"/>
            <w:vAlign w:val="center"/>
          </w:tcPr>
          <w:p>
            <w:r>
              <w:rPr>
                <w:rFonts w:hint="eastAsia"/>
              </w:rPr>
              <w:t>7、支持IPv4/IPv6双栈，支持IPv6地址、ICMPv6、UDP6/TCP6、DNSv6 Client，支持DHCPv6 Snooping、DHCPv6 Relay/Proxy、DHCPv6 Server、DHCPv6 Option37</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3.9</w:t>
            </w:r>
          </w:p>
        </w:tc>
        <w:tc>
          <w:tcPr>
            <w:tcW w:w="766" w:type="dxa"/>
            <w:noWrap/>
            <w:vAlign w:val="center"/>
          </w:tcPr>
          <w:p>
            <w:r>
              <w:rPr>
                <w:rFonts w:hint="eastAsia"/>
              </w:rPr>
              <w:t>下一代防火墙（互联网）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一、网络设备及信息安全/1.口岸办网络设备/1.1政务外网/1.1.3“</w:t>
            </w:r>
            <w:r>
              <w:rPr>
                <w:rFonts w:hint="eastAsia" w:ascii="宋体" w:hAnsi="宋体" w:cs="宋体"/>
                <w:color w:val="000000"/>
                <w:kern w:val="0"/>
                <w:szCs w:val="21"/>
              </w:rPr>
              <w:t>下一代防火墙”。</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 xml:space="preserve">3.10 </w:t>
            </w:r>
          </w:p>
        </w:tc>
        <w:tc>
          <w:tcPr>
            <w:tcW w:w="766" w:type="dxa"/>
            <w:noWrap/>
            <w:vAlign w:val="center"/>
          </w:tcPr>
          <w:p>
            <w:r>
              <w:rPr>
                <w:rFonts w:hint="eastAsia"/>
              </w:rPr>
              <w:t>入侵防御设备IPS（互联网）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一、网络设备及信息安全/1.口岸办网络设备/1.1政务外网/1.1.4“入侵防御设备IPS</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3.11</w:t>
            </w:r>
          </w:p>
        </w:tc>
        <w:tc>
          <w:tcPr>
            <w:tcW w:w="766" w:type="dxa"/>
            <w:noWrap/>
            <w:vAlign w:val="center"/>
          </w:tcPr>
          <w:p>
            <w:r>
              <w:rPr>
                <w:rFonts w:hint="eastAsia"/>
              </w:rPr>
              <w:t>上网行为管理（互联网）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一、网络设备及信息安全/1.口岸办网络设备/1.1政务外网/1.1.5“上网行为管理</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w:t>
            </w:r>
          </w:p>
        </w:tc>
        <w:tc>
          <w:tcPr>
            <w:tcW w:w="5343" w:type="dxa"/>
            <w:gridSpan w:val="2"/>
            <w:noWrap/>
            <w:vAlign w:val="center"/>
          </w:tcPr>
          <w:p>
            <w:r>
              <w:rPr>
                <w:rFonts w:hint="eastAsia"/>
              </w:rPr>
              <w:t>缉私局网络设备</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w:t>
            </w:r>
          </w:p>
        </w:tc>
        <w:tc>
          <w:tcPr>
            <w:tcW w:w="766" w:type="dxa"/>
            <w:noWrap/>
            <w:vAlign w:val="center"/>
          </w:tcPr>
          <w:p>
            <w:r>
              <w:rPr>
                <w:rFonts w:hint="eastAsia"/>
              </w:rPr>
              <w:t>核心交换机（运行网）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一、网络设备及信息安全/2.海关网络设备/2.2“</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4.2</w:t>
            </w:r>
          </w:p>
        </w:tc>
        <w:tc>
          <w:tcPr>
            <w:tcW w:w="766" w:type="dxa"/>
            <w:noWrap/>
            <w:vAlign w:val="center"/>
          </w:tcPr>
          <w:p>
            <w:r>
              <w:rPr>
                <w:rFonts w:hint="eastAsia"/>
              </w:rPr>
              <w:t>汇聚交换机（运行网）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一、网络设备及信息安全/1.口岸办网络设备/1.1政务外网/“</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4.3</w:t>
            </w:r>
          </w:p>
        </w:tc>
        <w:tc>
          <w:tcPr>
            <w:tcW w:w="766" w:type="dxa"/>
            <w:noWrap/>
            <w:vAlign w:val="center"/>
          </w:tcPr>
          <w:p>
            <w:r>
              <w:rPr>
                <w:rFonts w:hint="eastAsia"/>
              </w:rPr>
              <w:t>核心交换机（管理网）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一、网络设备及信息安全/2.海关网络设备/2.1 “</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4.4</w:t>
            </w:r>
          </w:p>
        </w:tc>
        <w:tc>
          <w:tcPr>
            <w:tcW w:w="766" w:type="dxa"/>
            <w:noWrap/>
            <w:vAlign w:val="center"/>
          </w:tcPr>
          <w:p>
            <w:r>
              <w:rPr>
                <w:rFonts w:hint="eastAsia"/>
              </w:rPr>
              <w:t>汇聚交换机（管理网）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一、网络设备及信息安全/1.口岸办网络设备/1.1政务外网/“</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4.5</w:t>
            </w:r>
          </w:p>
        </w:tc>
        <w:tc>
          <w:tcPr>
            <w:tcW w:w="766" w:type="dxa"/>
            <w:noWrap/>
            <w:vAlign w:val="center"/>
          </w:tcPr>
          <w:p>
            <w:r>
              <w:rPr>
                <w:rFonts w:hint="eastAsia"/>
              </w:rPr>
              <w:t>核心交换机（视频网）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一、网络设备及信息安全/1.口岸办网络设备/1.2视频网/1.2.1“</w:t>
            </w:r>
            <w:r>
              <w:rPr>
                <w:rFonts w:hint="eastAsia" w:ascii="宋体" w:hAnsi="宋体" w:cs="宋体"/>
                <w:color w:val="000000"/>
                <w:kern w:val="0"/>
                <w:szCs w:val="21"/>
              </w:rPr>
              <w:t>核心交换机”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4.6</w:t>
            </w:r>
          </w:p>
        </w:tc>
        <w:tc>
          <w:tcPr>
            <w:tcW w:w="766" w:type="dxa"/>
            <w:noWrap/>
            <w:vAlign w:val="center"/>
          </w:tcPr>
          <w:p>
            <w:r>
              <w:rPr>
                <w:rFonts w:hint="eastAsia"/>
              </w:rPr>
              <w:t>汇聚交换机（公安网）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一、网络设备及信息安全/3.边检网络设备/3.1“</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4.7</w:t>
            </w:r>
          </w:p>
        </w:tc>
        <w:tc>
          <w:tcPr>
            <w:tcW w:w="766" w:type="dxa"/>
            <w:noWrap/>
            <w:vAlign w:val="center"/>
          </w:tcPr>
          <w:p>
            <w:r>
              <w:rPr>
                <w:rFonts w:hint="eastAsia"/>
              </w:rPr>
              <w:t>语音程控交换机（语音网）</w:t>
            </w:r>
          </w:p>
        </w:tc>
        <w:tc>
          <w:tcPr>
            <w:tcW w:w="4577" w:type="dxa"/>
            <w:vAlign w:val="center"/>
          </w:tcPr>
          <w:p>
            <w:pPr>
              <w:pStyle w:val="81"/>
              <w:numPr>
                <w:ilvl w:val="0"/>
                <w:numId w:val="0"/>
              </w:numPr>
            </w:pPr>
            <w:r>
              <w:rPr>
                <w:rFonts w:hint="eastAsia"/>
                <w:lang w:val="en-US" w:eastAsia="zh-CN"/>
              </w:rPr>
              <w:t>1、</w:t>
            </w:r>
            <w:r>
              <w:rPr>
                <w:rFonts w:hint="eastAsia"/>
              </w:rPr>
              <w:t>支持MGCP、SIP、H.323等VoIP协议</w:t>
            </w:r>
          </w:p>
          <w:p>
            <w:pPr>
              <w:pStyle w:val="81"/>
              <w:numPr>
                <w:ilvl w:val="0"/>
                <w:numId w:val="0"/>
              </w:numPr>
            </w:pPr>
            <w:r>
              <w:rPr>
                <w:rFonts w:hint="eastAsia"/>
                <w:lang w:val="en-US" w:eastAsia="zh-CN"/>
              </w:rPr>
              <w:t>2、</w:t>
            </w:r>
            <w:r>
              <w:rPr>
                <w:rFonts w:hint="eastAsia"/>
              </w:rPr>
              <w:t>支持多达6000个电话或3400个数字电话包括FlexAir无线和IP端口</w:t>
            </w:r>
          </w:p>
        </w:tc>
        <w:tc>
          <w:tcPr>
            <w:tcW w:w="1050" w:type="dxa"/>
            <w:vAlign w:val="center"/>
          </w:tcPr>
          <w:p>
            <w:pPr>
              <w:pStyle w:val="81"/>
              <w:numPr>
                <w:ilvl w:val="0"/>
                <w:numId w:val="0"/>
              </w:numPr>
              <w:rPr>
                <w:rFonts w:hint="eastAsia"/>
                <w:lang w:val="en-US" w:eastAsia="zh-CN"/>
              </w:rPr>
            </w:pPr>
          </w:p>
        </w:tc>
        <w:tc>
          <w:tcPr>
            <w:tcW w:w="773" w:type="dxa"/>
            <w:vAlign w:val="center"/>
          </w:tcPr>
          <w:p>
            <w:pPr>
              <w:pStyle w:val="81"/>
              <w:numPr>
                <w:ilvl w:val="0"/>
                <w:numId w:val="0"/>
              </w:numPr>
              <w:rPr>
                <w:rFonts w:hint="eastAsia"/>
                <w:lang w:val="en-US" w:eastAsia="zh-CN"/>
              </w:rPr>
            </w:pPr>
          </w:p>
        </w:tc>
        <w:tc>
          <w:tcPr>
            <w:tcW w:w="807" w:type="dxa"/>
            <w:vAlign w:val="center"/>
          </w:tcPr>
          <w:p>
            <w:pPr>
              <w:pStyle w:val="81"/>
              <w:numPr>
                <w:ilvl w:val="0"/>
                <w:numId w:val="0"/>
              </w:num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restart"/>
            <w:noWrap/>
            <w:vAlign w:val="center"/>
          </w:tcPr>
          <w:p>
            <w:r>
              <w:rPr>
                <w:rFonts w:hint="eastAsia"/>
              </w:rPr>
              <w:t>4.8</w:t>
            </w:r>
          </w:p>
        </w:tc>
        <w:tc>
          <w:tcPr>
            <w:tcW w:w="766" w:type="dxa"/>
            <w:vMerge w:val="restart"/>
            <w:noWrap/>
            <w:vAlign w:val="center"/>
          </w:tcPr>
          <w:p>
            <w:r>
              <w:rPr>
                <w:rFonts w:hint="eastAsia"/>
              </w:rPr>
              <w:t>综合接入设备</w:t>
            </w:r>
          </w:p>
        </w:tc>
        <w:tc>
          <w:tcPr>
            <w:tcW w:w="4577" w:type="dxa"/>
            <w:vAlign w:val="center"/>
          </w:tcPr>
          <w:p>
            <w:r>
              <w:rPr>
                <w:rFonts w:hint="eastAsia"/>
              </w:rPr>
              <w:t xml:space="preserve">1、端口 RJ11型POTS：16/32 路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2、RJ45以太网口：1路上行接口，3路下行接口</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 xml:space="preserve">3、提供1路 网络协议 MGCP/SIP </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Merge w:val="continue"/>
            <w:vAlign w:val="center"/>
          </w:tcPr>
          <w:p/>
        </w:tc>
        <w:tc>
          <w:tcPr>
            <w:tcW w:w="766" w:type="dxa"/>
            <w:vMerge w:val="continue"/>
            <w:vAlign w:val="center"/>
          </w:tcPr>
          <w:p/>
        </w:tc>
        <w:tc>
          <w:tcPr>
            <w:tcW w:w="4577" w:type="dxa"/>
            <w:vAlign w:val="center"/>
          </w:tcPr>
          <w:p>
            <w:r>
              <w:rPr>
                <w:rFonts w:hint="eastAsia"/>
              </w:rPr>
              <w:t>4、RS232本地维护串口(console)：</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4.9</w:t>
            </w:r>
          </w:p>
        </w:tc>
        <w:tc>
          <w:tcPr>
            <w:tcW w:w="766" w:type="dxa"/>
            <w:noWrap/>
            <w:vAlign w:val="center"/>
          </w:tcPr>
          <w:p>
            <w:r>
              <w:rPr>
                <w:rFonts w:hint="eastAsia"/>
              </w:rPr>
              <w:t>汇聚交换机（互联网）</w:t>
            </w:r>
          </w:p>
        </w:tc>
        <w:tc>
          <w:tcPr>
            <w:tcW w:w="4577" w:type="dxa"/>
            <w:vAlign w:val="center"/>
          </w:tcPr>
          <w:p>
            <w:pPr>
              <w:rPr>
                <w:rFonts w:ascii="宋体" w:hAnsi="宋体" w:cs="宋体"/>
                <w:color w:val="000000"/>
                <w:kern w:val="0"/>
                <w:szCs w:val="21"/>
              </w:rPr>
            </w:pPr>
            <w:r>
              <w:rPr>
                <w:rFonts w:hint="eastAsia" w:ascii="宋体" w:hAnsi="宋体" w:cs="宋体"/>
                <w:kern w:val="0"/>
                <w:szCs w:val="21"/>
              </w:rPr>
              <w:t>参数同上</w:t>
            </w:r>
            <w:r>
              <w:rPr>
                <w:rFonts w:hint="eastAsia"/>
              </w:rPr>
              <w:t>一、网络设备及信息安全/2.海关网络设备/2.5“</w:t>
            </w:r>
            <w:r>
              <w:rPr>
                <w:rFonts w:hint="eastAsia" w:ascii="宋体" w:hAnsi="宋体" w:cs="宋体"/>
                <w:color w:val="000000"/>
                <w:kern w:val="0"/>
                <w:szCs w:val="21"/>
              </w:rPr>
              <w:t>汇聚交换机”</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 xml:space="preserve">4.10 </w:t>
            </w:r>
          </w:p>
        </w:tc>
        <w:tc>
          <w:tcPr>
            <w:tcW w:w="766" w:type="dxa"/>
            <w:noWrap/>
            <w:vAlign w:val="center"/>
          </w:tcPr>
          <w:p>
            <w:r>
              <w:rPr>
                <w:rFonts w:hint="eastAsia"/>
              </w:rPr>
              <w:t>下一代防火墙（互联网）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一、网络设备及信息安全/1.口岸办网络设备/1.1政务外网/1.1.3“</w:t>
            </w:r>
            <w:r>
              <w:rPr>
                <w:rFonts w:hint="eastAsia" w:ascii="宋体" w:hAnsi="宋体" w:cs="宋体"/>
                <w:color w:val="000000"/>
                <w:kern w:val="0"/>
                <w:szCs w:val="21"/>
              </w:rPr>
              <w:t>下一代防火墙”。</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4.11</w:t>
            </w:r>
          </w:p>
        </w:tc>
        <w:tc>
          <w:tcPr>
            <w:tcW w:w="766" w:type="dxa"/>
            <w:noWrap/>
            <w:vAlign w:val="center"/>
          </w:tcPr>
          <w:p>
            <w:r>
              <w:rPr>
                <w:rFonts w:hint="eastAsia"/>
              </w:rPr>
              <w:t>入侵防御设备IPS（互联网）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一、网络设备及信息安全/1.口岸办网络设备/1.1政务外网/1.1.4“入侵防御设备IPS</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4.12</w:t>
            </w:r>
          </w:p>
        </w:tc>
        <w:tc>
          <w:tcPr>
            <w:tcW w:w="766" w:type="dxa"/>
            <w:noWrap/>
            <w:vAlign w:val="center"/>
          </w:tcPr>
          <w:p>
            <w:r>
              <w:rPr>
                <w:rFonts w:hint="eastAsia"/>
              </w:rPr>
              <w:t>上网行为管理（互联网）</w:t>
            </w:r>
          </w:p>
        </w:tc>
        <w:tc>
          <w:tcPr>
            <w:tcW w:w="4577" w:type="dxa"/>
            <w:vAlign w:val="center"/>
          </w:tcPr>
          <w:p>
            <w:r>
              <w:rPr>
                <w:rFonts w:hint="eastAsia" w:ascii="宋体" w:hAnsi="宋体" w:cs="宋体"/>
                <w:kern w:val="0"/>
                <w:szCs w:val="21"/>
              </w:rPr>
              <w:t>参数同上</w:t>
            </w:r>
            <w:r>
              <w:rPr>
                <w:rFonts w:hint="eastAsia"/>
              </w:rPr>
              <w:t>一、网络设备及信息安全/1.口岸办网络设备/1.1政务外网/1.1.5“上网行为管理</w:t>
            </w:r>
            <w:r>
              <w:rPr>
                <w:rFonts w:hint="eastAsia" w:ascii="宋体" w:hAnsi="宋体" w:cs="宋体"/>
                <w:color w:val="000000"/>
                <w:kern w:val="0"/>
                <w:szCs w:val="21"/>
              </w:rPr>
              <w:t>”。</w:t>
            </w:r>
            <w:r>
              <w:rPr>
                <w:rFonts w:hint="eastAsia"/>
                <w:lang w:eastAsia="zh-CN"/>
              </w:rPr>
              <w:t>（</w:t>
            </w:r>
            <w:r>
              <w:rPr>
                <w:rFonts w:hint="eastAsia"/>
                <w:lang w:val="en-US" w:eastAsia="zh-CN"/>
              </w:rPr>
              <w:t>此处不重复扣分</w:t>
            </w:r>
            <w:r>
              <w:rPr>
                <w:rFonts w:hint="eastAsia"/>
                <w:lang w:eastAsia="zh-CN"/>
              </w:rPr>
              <w:t>）</w:t>
            </w:r>
          </w:p>
        </w:tc>
        <w:tc>
          <w:tcPr>
            <w:tcW w:w="1050" w:type="dxa"/>
            <w:vAlign w:val="center"/>
          </w:tcPr>
          <w:p>
            <w:pPr>
              <w:rPr>
                <w:rFonts w:hint="eastAsia" w:ascii="宋体" w:hAnsi="宋体" w:cs="宋体"/>
                <w:kern w:val="0"/>
                <w:szCs w:val="21"/>
              </w:rPr>
            </w:pPr>
          </w:p>
        </w:tc>
        <w:tc>
          <w:tcPr>
            <w:tcW w:w="773" w:type="dxa"/>
            <w:vAlign w:val="center"/>
          </w:tcPr>
          <w:p>
            <w:pPr>
              <w:rPr>
                <w:rFonts w:hint="eastAsia" w:ascii="宋体" w:hAnsi="宋体" w:cs="宋体"/>
                <w:kern w:val="0"/>
                <w:szCs w:val="21"/>
              </w:rPr>
            </w:pPr>
          </w:p>
        </w:tc>
        <w:tc>
          <w:tcPr>
            <w:tcW w:w="807"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二</w:t>
            </w:r>
          </w:p>
        </w:tc>
        <w:tc>
          <w:tcPr>
            <w:tcW w:w="766" w:type="dxa"/>
            <w:noWrap/>
            <w:vAlign w:val="center"/>
          </w:tcPr>
          <w:p>
            <w:r>
              <w:rPr>
                <w:rFonts w:hint="eastAsia"/>
              </w:rPr>
              <w:t>光缆建设</w:t>
            </w:r>
          </w:p>
        </w:tc>
        <w:tc>
          <w:tcPr>
            <w:tcW w:w="4577" w:type="dxa"/>
            <w:noWrap/>
            <w:vAlign w:val="center"/>
          </w:tcPr>
          <w:p>
            <w:r>
              <w:rPr>
                <w:rFonts w:hint="eastAsia"/>
              </w:rPr>
              <w:t>　</w:t>
            </w:r>
          </w:p>
        </w:tc>
        <w:tc>
          <w:tcPr>
            <w:tcW w:w="1050" w:type="dxa"/>
            <w:noWrap/>
            <w:vAlign w:val="center"/>
          </w:tcPr>
          <w:p>
            <w:pPr>
              <w:rPr>
                <w:rFonts w:hint="eastAsia"/>
              </w:rPr>
            </w:pPr>
          </w:p>
        </w:tc>
        <w:tc>
          <w:tcPr>
            <w:tcW w:w="773" w:type="dxa"/>
            <w:noWrap/>
            <w:vAlign w:val="center"/>
          </w:tcPr>
          <w:p>
            <w:pPr>
              <w:rPr>
                <w:rFonts w:hint="eastAsia"/>
              </w:rPr>
            </w:pPr>
          </w:p>
        </w:tc>
        <w:tc>
          <w:tcPr>
            <w:tcW w:w="807" w:type="dxa"/>
            <w:noWrap/>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1</w:t>
            </w:r>
          </w:p>
        </w:tc>
        <w:tc>
          <w:tcPr>
            <w:tcW w:w="766" w:type="dxa"/>
            <w:vAlign w:val="center"/>
          </w:tcPr>
          <w:p>
            <w:r>
              <w:rPr>
                <w:rFonts w:hint="eastAsia"/>
              </w:rPr>
              <w:t>敷设光缆1（皇岗临时旅检楼-新综合业务楼，口岸办）</w:t>
            </w:r>
          </w:p>
        </w:tc>
        <w:tc>
          <w:tcPr>
            <w:tcW w:w="4577" w:type="dxa"/>
            <w:vAlign w:val="center"/>
          </w:tcPr>
          <w:p>
            <w:r>
              <w:rPr>
                <w:rFonts w:hint="eastAsia"/>
              </w:rPr>
              <w:t>路由1：铺设皇岗临时旅检楼-新综合业务楼48芯骨干光缆（口岸办）</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2</w:t>
            </w:r>
          </w:p>
        </w:tc>
        <w:tc>
          <w:tcPr>
            <w:tcW w:w="766" w:type="dxa"/>
            <w:vAlign w:val="center"/>
          </w:tcPr>
          <w:p>
            <w:r>
              <w:rPr>
                <w:rFonts w:hint="eastAsia"/>
              </w:rPr>
              <w:t>敷设光缆2（皇岗临时旅检楼-新综合业务楼，口岸办）</w:t>
            </w:r>
          </w:p>
        </w:tc>
        <w:tc>
          <w:tcPr>
            <w:tcW w:w="4577" w:type="dxa"/>
            <w:vAlign w:val="center"/>
          </w:tcPr>
          <w:p>
            <w:r>
              <w:rPr>
                <w:rFonts w:hint="eastAsia"/>
              </w:rPr>
              <w:t>路由2：铺设皇岗临时旅检楼-新综合业务楼48芯骨干光缆（口岸办）</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3</w:t>
            </w:r>
          </w:p>
        </w:tc>
        <w:tc>
          <w:tcPr>
            <w:tcW w:w="766" w:type="dxa"/>
            <w:vAlign w:val="center"/>
          </w:tcPr>
          <w:p>
            <w:r>
              <w:rPr>
                <w:rFonts w:hint="eastAsia"/>
              </w:rPr>
              <w:t>敷设光缆3（皇岗海关-新综合业务楼）</w:t>
            </w:r>
          </w:p>
        </w:tc>
        <w:tc>
          <w:tcPr>
            <w:tcW w:w="4577" w:type="dxa"/>
            <w:vAlign w:val="center"/>
          </w:tcPr>
          <w:p>
            <w:r>
              <w:rPr>
                <w:rFonts w:hint="eastAsia"/>
              </w:rPr>
              <w:t>路由3：铺设皇岗海关-新综合业务楼48芯骨干光缆（海关）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4</w:t>
            </w:r>
          </w:p>
        </w:tc>
        <w:tc>
          <w:tcPr>
            <w:tcW w:w="766" w:type="dxa"/>
            <w:vAlign w:val="center"/>
          </w:tcPr>
          <w:p>
            <w:r>
              <w:rPr>
                <w:rFonts w:hint="eastAsia"/>
              </w:rPr>
              <w:t>敷设光缆4（皇岗海关-新综合业务楼）</w:t>
            </w:r>
          </w:p>
        </w:tc>
        <w:tc>
          <w:tcPr>
            <w:tcW w:w="4577" w:type="dxa"/>
            <w:vAlign w:val="center"/>
          </w:tcPr>
          <w:p>
            <w:r>
              <w:rPr>
                <w:rFonts w:hint="eastAsia"/>
              </w:rPr>
              <w:t>路由4：铺设皇岗海关-新综合业务楼48芯骨干光缆（海关）</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5</w:t>
            </w:r>
          </w:p>
        </w:tc>
        <w:tc>
          <w:tcPr>
            <w:tcW w:w="766" w:type="dxa"/>
            <w:vAlign w:val="center"/>
          </w:tcPr>
          <w:p>
            <w:r>
              <w:rPr>
                <w:rFonts w:hint="eastAsia"/>
              </w:rPr>
              <w:t>敷设光缆5（皇岗边检-新综合业务楼）</w:t>
            </w:r>
          </w:p>
        </w:tc>
        <w:tc>
          <w:tcPr>
            <w:tcW w:w="4577" w:type="dxa"/>
            <w:vAlign w:val="center"/>
          </w:tcPr>
          <w:p>
            <w:r>
              <w:rPr>
                <w:rFonts w:hint="eastAsia"/>
              </w:rPr>
              <w:t>路由5：铺设皇岗边检-新综合业务楼48芯骨干光缆（边检）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6</w:t>
            </w:r>
          </w:p>
        </w:tc>
        <w:tc>
          <w:tcPr>
            <w:tcW w:w="766" w:type="dxa"/>
            <w:vAlign w:val="center"/>
          </w:tcPr>
          <w:p>
            <w:r>
              <w:rPr>
                <w:rFonts w:hint="eastAsia"/>
              </w:rPr>
              <w:t>敷设光缆6（皇岗边检-新综合业务楼）</w:t>
            </w:r>
          </w:p>
        </w:tc>
        <w:tc>
          <w:tcPr>
            <w:tcW w:w="4577" w:type="dxa"/>
            <w:vAlign w:val="center"/>
          </w:tcPr>
          <w:p>
            <w:r>
              <w:rPr>
                <w:rFonts w:hint="eastAsia"/>
              </w:rPr>
              <w:t>路由6：铺设皇岗边检-新综合业务楼48芯骨干光缆（边检）</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7</w:t>
            </w:r>
          </w:p>
        </w:tc>
        <w:tc>
          <w:tcPr>
            <w:tcW w:w="766" w:type="dxa"/>
            <w:vAlign w:val="center"/>
          </w:tcPr>
          <w:p>
            <w:r>
              <w:rPr>
                <w:rFonts w:hint="eastAsia"/>
              </w:rPr>
              <w:t>敷设光缆7（皇岗缉私局-新综合业务楼）</w:t>
            </w:r>
          </w:p>
        </w:tc>
        <w:tc>
          <w:tcPr>
            <w:tcW w:w="4577" w:type="dxa"/>
            <w:vAlign w:val="center"/>
          </w:tcPr>
          <w:p>
            <w:r>
              <w:rPr>
                <w:rFonts w:hint="eastAsia"/>
              </w:rPr>
              <w:t>路由7：铺设皇岗缉私局-新综合业务楼48芯骨干光缆（缉私）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6" w:type="dxa"/>
            <w:noWrap/>
            <w:vAlign w:val="center"/>
          </w:tcPr>
          <w:p>
            <w:r>
              <w:rPr>
                <w:rFonts w:hint="eastAsia"/>
              </w:rPr>
              <w:t>8</w:t>
            </w:r>
          </w:p>
        </w:tc>
        <w:tc>
          <w:tcPr>
            <w:tcW w:w="766" w:type="dxa"/>
            <w:vAlign w:val="center"/>
          </w:tcPr>
          <w:p>
            <w:r>
              <w:rPr>
                <w:rFonts w:hint="eastAsia"/>
              </w:rPr>
              <w:t>敷设光缆8（皇岗缉私局-新综合业务楼）</w:t>
            </w:r>
          </w:p>
        </w:tc>
        <w:tc>
          <w:tcPr>
            <w:tcW w:w="4577" w:type="dxa"/>
            <w:vAlign w:val="center"/>
          </w:tcPr>
          <w:p>
            <w:r>
              <w:rPr>
                <w:rFonts w:hint="eastAsia"/>
              </w:rPr>
              <w:t>路由8：铺设皇岗缉私局-新综合业务楼48芯骨干光缆（缉私）</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noWrap/>
            <w:vAlign w:val="center"/>
          </w:tcPr>
          <w:p>
            <w:r>
              <w:rPr>
                <w:rFonts w:hint="eastAsia"/>
              </w:rPr>
              <w:t>9</w:t>
            </w:r>
          </w:p>
        </w:tc>
        <w:tc>
          <w:tcPr>
            <w:tcW w:w="766" w:type="dxa"/>
            <w:vAlign w:val="center"/>
          </w:tcPr>
          <w:p>
            <w:r>
              <w:rPr>
                <w:rFonts w:hint="eastAsia"/>
              </w:rPr>
              <w:t>传输管道管孔租赁费用</w:t>
            </w:r>
          </w:p>
        </w:tc>
        <w:tc>
          <w:tcPr>
            <w:tcW w:w="4577" w:type="dxa"/>
            <w:vAlign w:val="center"/>
          </w:tcPr>
          <w:p>
            <w:r>
              <w:rPr>
                <w:rFonts w:hint="eastAsia"/>
              </w:rPr>
              <w:t>含三年租赁费用</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899" w:type="dxa"/>
            <w:gridSpan w:val="3"/>
            <w:vAlign w:val="center"/>
          </w:tcPr>
          <w:p>
            <w:r>
              <w:rPr>
                <w:rFonts w:hint="eastAsia"/>
              </w:rPr>
              <w:t>第四部分：软硬件系统集成</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6" w:type="dxa"/>
            <w:vAlign w:val="center"/>
          </w:tcPr>
          <w:p>
            <w:r>
              <w:rPr>
                <w:rFonts w:hint="eastAsia"/>
              </w:rPr>
              <w:t>1</w:t>
            </w:r>
          </w:p>
        </w:tc>
        <w:tc>
          <w:tcPr>
            <w:tcW w:w="766" w:type="dxa"/>
            <w:vAlign w:val="center"/>
          </w:tcPr>
          <w:p>
            <w:r>
              <w:rPr>
                <w:rFonts w:hint="eastAsia"/>
              </w:rPr>
              <w:t>软硬件系统集成</w:t>
            </w:r>
          </w:p>
        </w:tc>
        <w:tc>
          <w:tcPr>
            <w:tcW w:w="4577" w:type="dxa"/>
            <w:vAlign w:val="center"/>
          </w:tcPr>
          <w:p>
            <w:r>
              <w:rPr>
                <w:rFonts w:hint="eastAsia"/>
              </w:rPr>
              <w:t>各系统及系统间需要联调联试的功能性能指标达到设计要求，确保设备及系统的兼容性，保证各系统正常稳定运行。</w:t>
            </w:r>
          </w:p>
        </w:tc>
        <w:tc>
          <w:tcPr>
            <w:tcW w:w="1050" w:type="dxa"/>
            <w:vAlign w:val="center"/>
          </w:tcPr>
          <w:p>
            <w:pPr>
              <w:rPr>
                <w:rFonts w:hint="eastAsia"/>
              </w:rPr>
            </w:pPr>
          </w:p>
        </w:tc>
        <w:tc>
          <w:tcPr>
            <w:tcW w:w="773" w:type="dxa"/>
            <w:vAlign w:val="center"/>
          </w:tcPr>
          <w:p>
            <w:pPr>
              <w:rPr>
                <w:rFonts w:hint="eastAsia"/>
              </w:rPr>
            </w:pPr>
          </w:p>
        </w:tc>
        <w:tc>
          <w:tcPr>
            <w:tcW w:w="807" w:type="dxa"/>
            <w:vAlign w:val="center"/>
          </w:tcPr>
          <w:p>
            <w:pPr>
              <w:rPr>
                <w:rFonts w:hint="eastAsia"/>
              </w:rPr>
            </w:pPr>
          </w:p>
        </w:tc>
      </w:tr>
    </w:tbl>
    <w:p>
      <w:pPr>
        <w:rPr>
          <w:b/>
          <w:sz w:val="24"/>
        </w:rPr>
      </w:pPr>
      <w:bookmarkStart w:id="71" w:name="_Hlk72095977"/>
      <w:r>
        <w:rPr>
          <w:rFonts w:hint="eastAsia"/>
          <w:sz w:val="24"/>
        </w:rPr>
        <w:t>证明资料【如有的话，供应商提供的证明资料应统一编号（排序），格式自定】</w:t>
      </w:r>
      <w:bookmarkEnd w:id="71"/>
      <w:r>
        <w:rPr>
          <w:rFonts w:hint="eastAsia"/>
          <w:sz w:val="24"/>
        </w:rPr>
        <w:t>：</w:t>
      </w:r>
    </w:p>
    <w:p>
      <w:pPr>
        <w:ind w:firstLine="482" w:firstLineChars="200"/>
        <w:rPr>
          <w:b/>
          <w:sz w:val="24"/>
        </w:rPr>
      </w:pPr>
      <w:r>
        <w:rPr>
          <w:rFonts w:hint="eastAsia"/>
          <w:b/>
          <w:sz w:val="24"/>
        </w:rPr>
        <w:t>《技术要求偏离表》编制指引：</w:t>
      </w:r>
    </w:p>
    <w:p>
      <w:pPr>
        <w:ind w:firstLine="482" w:firstLineChars="200"/>
        <w:rPr>
          <w:b/>
          <w:sz w:val="24"/>
        </w:rPr>
      </w:pPr>
      <w:r>
        <w:rPr>
          <w:rFonts w:hint="eastAsia"/>
          <w:b/>
          <w:sz w:val="24"/>
        </w:rPr>
        <w:t>1、技术要求偏离表的序号、货物名称、招标技术要求等栏目</w:t>
      </w:r>
      <w:bookmarkStart w:id="72" w:name="_Hlk72094407"/>
      <w:r>
        <w:rPr>
          <w:rFonts w:hint="eastAsia"/>
          <w:b/>
          <w:sz w:val="24"/>
        </w:rPr>
        <w:t>对应“用户需求书”中的“技术要求”章节</w:t>
      </w:r>
      <w:bookmarkEnd w:id="72"/>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、“投标技术响应”一栏必须一一对照“招标技术要求”，详细填写投标人自身投标货物的具体参数，以体现具体响应情况。</w:t>
      </w:r>
    </w:p>
    <w:p>
      <w:pPr>
        <w:ind w:firstLine="482" w:firstLineChars="200"/>
        <w:rPr>
          <w:b/>
          <w:sz w:val="24"/>
        </w:rPr>
      </w:pPr>
      <w:r>
        <w:rPr>
          <w:b/>
          <w:sz w:val="24"/>
        </w:rPr>
        <w:t>3</w:t>
      </w:r>
      <w:r>
        <w:rPr>
          <w:rFonts w:hint="eastAsia"/>
          <w:b/>
          <w:sz w:val="24"/>
        </w:rPr>
        <w:t>、</w:t>
      </w:r>
      <w:bookmarkStart w:id="73" w:name="_Hlk72158270"/>
      <w:r>
        <w:rPr>
          <w:rFonts w:hint="eastAsia"/>
          <w:b/>
          <w:sz w:val="24"/>
        </w:rPr>
        <w:t>“偏离情况”</w:t>
      </w:r>
      <w:bookmarkEnd w:id="73"/>
      <w:r>
        <w:rPr>
          <w:rFonts w:hint="eastAsia"/>
          <w:b/>
          <w:sz w:val="24"/>
        </w:rPr>
        <w:t>一栏填写如实填写“正偏离”、“负偏离”或“无偏离”，其中：</w:t>
      </w:r>
      <w:bookmarkStart w:id="74" w:name="_Hlk72093866"/>
      <w:r>
        <w:rPr>
          <w:rFonts w:hint="eastAsia"/>
          <w:b/>
          <w:sz w:val="24"/>
        </w:rPr>
        <w:t>“正偏离”表示“投标响应优于招标技术要求”，“负偏离”表示“投标响应不满足招标技术要求”，“无偏离”表示“投标响应与招标技术要求一致”</w:t>
      </w:r>
      <w:bookmarkEnd w:id="74"/>
      <w:r>
        <w:rPr>
          <w:rFonts w:hint="eastAsia"/>
          <w:b/>
          <w:sz w:val="24"/>
        </w:rPr>
        <w:t>。“投标技术响应”对比“招标技术要求”存在响应不全（包括未响应整项招标技术要求或者未响应一项招标技术要求的部分内容），均视为“负偏离”。</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b/>
          <w:sz w:val="24"/>
        </w:rPr>
      </w:pPr>
      <w:r>
        <w:rPr>
          <w:rFonts w:hint="eastAsia"/>
          <w:b/>
          <w:sz w:val="24"/>
        </w:rPr>
        <w:t>5、证明资料条款响应要求：要求提供证明资料（且已对证明资料的形式、内容作出明确要求）进行响应的条款，可在“说明”一栏中列明是否提供了符合要求的证明资料；此类条款应严格依照要求的形式、内容提供证明资料，如未提供证明资料（或：证明资料的形式、内容等不符合要求；证明资料显示不符合招标技术要求；证明资料模糊不清无法判断或未显示是否满足招标技术要求），且投标人在“偏离情况”一栏响应为“正偏离”或“无偏离”的，经评审委员会认定，将判定为负偏离。</w:t>
      </w:r>
    </w:p>
    <w:p>
      <w:pPr>
        <w:ind w:firstLine="482" w:firstLineChars="200"/>
        <w:rPr>
          <w:b/>
          <w:sz w:val="24"/>
        </w:rPr>
      </w:pPr>
      <w:r>
        <w:rPr>
          <w:rFonts w:hint="eastAsia"/>
          <w:b/>
          <w:sz w:val="24"/>
        </w:rPr>
        <w:t>6、</w:t>
      </w:r>
      <w:bookmarkStart w:id="75" w:name="_Hlk72096176"/>
      <w:r>
        <w:rPr>
          <w:rFonts w:hint="eastAsia"/>
          <w:b/>
          <w:sz w:val="24"/>
        </w:rPr>
        <w:t>证明资料的形式及其它具体要求</w:t>
      </w:r>
      <w:bookmarkEnd w:id="75"/>
      <w:r>
        <w:rPr>
          <w:rFonts w:hint="eastAsia"/>
          <w:b/>
          <w:sz w:val="24"/>
        </w:rPr>
        <w:t>：</w:t>
      </w:r>
    </w:p>
    <w:p>
      <w:pPr>
        <w:ind w:firstLine="482" w:firstLineChars="200"/>
        <w:rPr>
          <w:b/>
          <w:sz w:val="24"/>
        </w:rPr>
      </w:pPr>
      <w:r>
        <w:rPr>
          <w:rFonts w:hint="eastAsia"/>
          <w:b/>
          <w:sz w:val="24"/>
        </w:rPr>
        <w:t>（1）除照片、图片（截图）及不需加盖公章的文字说明（技术说明）外，其它证明资料均要求为原件扫描件；</w:t>
      </w:r>
    </w:p>
    <w:p>
      <w:pPr>
        <w:ind w:firstLine="482" w:firstLineChars="200"/>
        <w:rPr>
          <w:b/>
          <w:sz w:val="24"/>
        </w:rPr>
      </w:pPr>
      <w:r>
        <w:rPr>
          <w:rFonts w:hint="eastAsia"/>
          <w:b/>
          <w:sz w:val="24"/>
        </w:rPr>
        <w:t>（2）提供证明资料的形式包括但不限于：a.制造商公布（出具）的产品说明书、产品彩页；b.我国政府机构出具的产品检验和核准证件等；c.第三方机构出具的检测（检验、测试）报告、认证证书等；已对证明资料的形式、内容作出具体要求的，必须严格按要求的形式、内容提供证明资料；</w:t>
      </w:r>
    </w:p>
    <w:p>
      <w:pPr>
        <w:ind w:firstLine="482" w:firstLineChars="200"/>
        <w:rPr>
          <w:b/>
          <w:sz w:val="24"/>
        </w:rPr>
      </w:pPr>
      <w:r>
        <w:rPr>
          <w:rFonts w:hint="eastAsia"/>
          <w:b/>
          <w:sz w:val="24"/>
        </w:rPr>
        <w:t>（3）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ind w:firstLine="482" w:firstLineChars="200"/>
        <w:rPr>
          <w:b/>
          <w:sz w:val="24"/>
        </w:rPr>
      </w:pPr>
      <w:r>
        <w:rPr>
          <w:rFonts w:hint="eastAsia"/>
          <w:b/>
          <w:sz w:val="24"/>
        </w:rPr>
        <w:t>我国政府机构出具的产品检验和核准证件应为证件正面、背面和附件标注的全部具体内容；产品检验和核准证件的尺寸和清晰度应该能够在电脑上被阅读、识别和判断；</w:t>
      </w:r>
    </w:p>
    <w:p>
      <w:pPr>
        <w:ind w:firstLine="482" w:firstLineChars="200"/>
        <w:rPr>
          <w:b/>
          <w:sz w:val="24"/>
        </w:rPr>
      </w:pPr>
      <w:r>
        <w:rPr>
          <w:rFonts w:hint="eastAsia"/>
          <w:b/>
          <w:sz w:val="24"/>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pPr>
        <w:ind w:firstLine="482" w:firstLineChars="200"/>
        <w:rPr>
          <w:b/>
          <w:sz w:val="24"/>
        </w:rPr>
      </w:pPr>
      <w:r>
        <w:rPr>
          <w:rFonts w:hint="eastAsia"/>
          <w:b/>
          <w:sz w:val="24"/>
        </w:rPr>
        <w:t>其它证明资料的形式要求参照以上要求执行；</w:t>
      </w:r>
    </w:p>
    <w:p>
      <w:pPr>
        <w:ind w:firstLine="482" w:firstLineChars="200"/>
        <w:rPr>
          <w:b/>
          <w:sz w:val="24"/>
        </w:rPr>
      </w:pPr>
      <w:r>
        <w:rPr>
          <w:rFonts w:hint="eastAsia"/>
          <w:b/>
          <w:sz w:val="24"/>
        </w:rPr>
        <w:t>（4）证明资料均要求原件备查。</w:t>
      </w:r>
    </w:p>
    <w:p>
      <w:pPr>
        <w:ind w:firstLine="482" w:firstLineChars="200"/>
        <w:rPr>
          <w:b/>
          <w:sz w:val="24"/>
        </w:rPr>
      </w:pPr>
      <w:r>
        <w:rPr>
          <w:rFonts w:hint="eastAsia"/>
          <w:b/>
          <w:sz w:val="24"/>
        </w:rPr>
        <w:t>7、其它注意事项：评审委员会有权对投标人的响应情况作出判断（评审结论）；</w:t>
      </w:r>
    </w:p>
    <w:p>
      <w:pPr>
        <w:rPr>
          <w:sz w:val="24"/>
        </w:rPr>
      </w:pPr>
    </w:p>
    <w:p>
      <w:pPr>
        <w:pStyle w:val="3"/>
        <w:jc w:val="center"/>
        <w:rPr>
          <w:rFonts w:hint="eastAsia"/>
          <w:b/>
          <w:sz w:val="24"/>
        </w:rPr>
      </w:pPr>
      <w:r>
        <w:rPr>
          <w:rFonts w:hint="eastAsia" w:ascii="黑体" w:eastAsia="黑体"/>
          <w:b w:val="0"/>
          <w:bCs w:val="0"/>
          <w:sz w:val="24"/>
          <w:szCs w:val="20"/>
        </w:rPr>
        <w:t>五、商务要求偏离表</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6"/>
        <w:gridCol w:w="1136"/>
        <w:gridCol w:w="4660"/>
        <w:gridCol w:w="1073"/>
        <w:gridCol w:w="640"/>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0" w:type="auto"/>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序号</w:t>
            </w:r>
          </w:p>
        </w:tc>
        <w:tc>
          <w:tcPr>
            <w:tcW w:w="0" w:type="auto"/>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目录</w:t>
            </w:r>
          </w:p>
        </w:tc>
        <w:tc>
          <w:tcPr>
            <w:tcW w:w="4660" w:type="dxa"/>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商务需求</w:t>
            </w:r>
          </w:p>
        </w:tc>
        <w:tc>
          <w:tcPr>
            <w:tcW w:w="1073" w:type="dxa"/>
            <w:noWrap w:val="0"/>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kern w:val="0"/>
                <w:sz w:val="21"/>
                <w:szCs w:val="21"/>
              </w:rPr>
            </w:pPr>
            <w:r>
              <w:rPr>
                <w:rFonts w:hint="eastAsia"/>
                <w:sz w:val="24"/>
              </w:rPr>
              <w:t>投标商务响应</w:t>
            </w:r>
          </w:p>
        </w:tc>
        <w:tc>
          <w:tcPr>
            <w:tcW w:w="640" w:type="dxa"/>
            <w:noWrap w:val="0"/>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kern w:val="0"/>
                <w:sz w:val="21"/>
                <w:szCs w:val="21"/>
              </w:rPr>
            </w:pPr>
            <w:r>
              <w:rPr>
                <w:rFonts w:hint="eastAsia"/>
              </w:rPr>
              <w:t>偏离情况</w:t>
            </w:r>
          </w:p>
        </w:tc>
        <w:tc>
          <w:tcPr>
            <w:tcW w:w="456" w:type="dxa"/>
            <w:noWrap w:val="0"/>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kern w:val="0"/>
                <w:sz w:val="21"/>
                <w:szCs w:val="21"/>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8421" w:type="dxa"/>
            <w:gridSpan w:val="6"/>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1</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line="300" w:lineRule="atLeas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维修及维护服务</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1.1各投标人应在投标文件中列明各主机、配件和易耗品的保修期限,终身免费维修。保修期内,</w:t>
            </w:r>
            <w:r>
              <w:rPr>
                <w:rFonts w:hint="eastAsia" w:asciiTheme="minorEastAsia" w:hAnsiTheme="minorEastAsia" w:eastAsiaTheme="minorEastAsia" w:cstheme="minorEastAsia"/>
                <w:kern w:val="0"/>
                <w:sz w:val="21"/>
                <w:szCs w:val="21"/>
                <w:lang w:val="en-US" w:eastAsia="zh-CN"/>
              </w:rPr>
              <w:t>季</w:t>
            </w:r>
            <w:r>
              <w:rPr>
                <w:rFonts w:hint="eastAsia" w:asciiTheme="minorEastAsia" w:hAnsiTheme="minorEastAsia" w:eastAsiaTheme="minorEastAsia" w:cstheme="minorEastAsia"/>
                <w:kern w:val="0"/>
                <w:sz w:val="21"/>
                <w:szCs w:val="21"/>
              </w:rPr>
              <w:t>度定期预防性维护保养次数应不少于 1 次。保修期内免费更换零配件、免工时费。</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0" w:type="auto"/>
            <w:vMerge w:val="continue"/>
            <w:noWrap w:val="0"/>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Theme="minorEastAsia" w:hAnsiTheme="minorEastAsia" w:eastAsiaTheme="minorEastAsia" w:cstheme="minorEastAsia"/>
                <w:b/>
                <w:bCs/>
                <w:kern w:val="0"/>
                <w:sz w:val="21"/>
                <w:szCs w:val="21"/>
              </w:rPr>
            </w:pPr>
          </w:p>
        </w:tc>
        <w:tc>
          <w:tcPr>
            <w:tcW w:w="0" w:type="auto"/>
            <w:vMerge w:val="continue"/>
            <w:noWrap w:val="0"/>
            <w:tcMar>
              <w:top w:w="0" w:type="dxa"/>
              <w:left w:w="108" w:type="dxa"/>
              <w:bottom w:w="0" w:type="dxa"/>
              <w:right w:w="108" w:type="dxa"/>
            </w:tcMar>
            <w:vAlign w:val="center"/>
          </w:tcPr>
          <w:p>
            <w:pPr>
              <w:widowControl/>
              <w:spacing w:before="100" w:beforeAutospacing="1" w:after="100" w:afterAutospacing="1" w:line="300" w:lineRule="atLeast"/>
              <w:jc w:val="left"/>
              <w:rPr>
                <w:rFonts w:hint="eastAsia" w:asciiTheme="minorEastAsia" w:hAnsiTheme="minorEastAsia" w:eastAsiaTheme="minorEastAsia" w:cstheme="minorEastAsia"/>
                <w:b/>
                <w:bCs/>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1.2</w:t>
            </w:r>
            <w:r>
              <w:rPr>
                <w:rFonts w:hint="eastAsia" w:asciiTheme="minorEastAsia" w:hAnsiTheme="minorEastAsia" w:eastAsiaTheme="minorEastAsia" w:cstheme="minorEastAsia"/>
                <w:kern w:val="0"/>
                <w:sz w:val="21"/>
                <w:szCs w:val="21"/>
              </w:rPr>
              <w:t>承诺</w:t>
            </w:r>
            <w:r>
              <w:rPr>
                <w:rFonts w:hint="eastAsia" w:asciiTheme="minorEastAsia" w:hAnsiTheme="minorEastAsia" w:eastAsiaTheme="minorEastAsia" w:cstheme="minorEastAsia"/>
                <w:kern w:val="0"/>
                <w:sz w:val="21"/>
                <w:szCs w:val="21"/>
                <w:lang w:val="en-US" w:eastAsia="zh-CN"/>
              </w:rPr>
              <w:t>整机免费保修5年；</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lang w:val="en-US" w:eastAsia="zh-CN"/>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lang w:val="en-US" w:eastAsia="zh-CN"/>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rPr>
              <w:t>由设备制造商提供售后服务，</w:t>
            </w:r>
            <w:r>
              <w:rPr>
                <w:rFonts w:hint="eastAsia" w:asciiTheme="minorEastAsia" w:hAnsiTheme="minorEastAsia" w:eastAsiaTheme="minorEastAsia" w:cstheme="minorEastAsia"/>
                <w:kern w:val="0"/>
                <w:sz w:val="21"/>
                <w:szCs w:val="21"/>
                <w:lang w:val="en-US" w:eastAsia="zh-CN"/>
              </w:rPr>
              <w:t>设备发生故障时，承诺2小时响应，8小时到场，24小时排除故障，故障无法解决需提供同等备用机给院方使用；</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投标人负责货物的终身维修，保证 五 年以上供应维修配件，免费提供技术咨询和软件升级，软件“终身免费升级”，保证供应仪器的维修与配件。</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0" w:type="auto"/>
            <w:noWrap w:val="0"/>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2</w:t>
            </w:r>
          </w:p>
        </w:tc>
        <w:tc>
          <w:tcPr>
            <w:tcW w:w="0" w:type="auto"/>
            <w:noWrap w:val="0"/>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质量保证</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2.1在保修期内, 投标人应确保年开机率在95%以上, 若不能达到此开机率，将作以下处理：a. 年开机率在90-95%</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含</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之间按一赔 二  延长保修期；b. 年开机率在85-90%</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含</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之间按一赔 五  延长保修期；c. 年开机率低于85%</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含</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，投标人无条件更换新机，并重新计算保修期，以及赔偿用户的直接经济损失和间接经济损失。注：年开机率=（365-停机天数）/365）</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8421" w:type="dxa"/>
            <w:gridSpan w:val="6"/>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eastAsia" w:asciiTheme="minorEastAsia" w:hAnsiTheme="minorEastAsia" w:eastAsiaTheme="minorEastAsia" w:cstheme="minorEastAsia"/>
                <w:b/>
                <w:bCs/>
                <w:kern w:val="0"/>
                <w:sz w:val="21"/>
                <w:szCs w:val="21"/>
              </w:rPr>
            </w:pPr>
            <w:bookmarkStart w:id="139" w:name="_GoBack" w:colFirst="0" w:colLast="5"/>
            <w:r>
              <w:rPr>
                <w:rFonts w:hint="eastAsia" w:asciiTheme="minorEastAsia" w:hAnsiTheme="minorEastAsia" w:eastAsiaTheme="minorEastAsia" w:cstheme="minorEastAsia"/>
                <w:b/>
                <w:bCs/>
                <w:kern w:val="0"/>
                <w:sz w:val="21"/>
                <w:szCs w:val="21"/>
              </w:rPr>
              <w:t>（二）免费保修期外售后服务要求</w:t>
            </w:r>
          </w:p>
        </w:tc>
      </w:tr>
      <w:bookmarkEnd w:id="1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1</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维修零配件、消耗品和延续保修合同的报价</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1.1由设备制造商提供售后服务，</w:t>
            </w:r>
            <w:r>
              <w:rPr>
                <w:rFonts w:hint="eastAsia" w:asciiTheme="minorEastAsia" w:hAnsiTheme="minorEastAsia" w:eastAsiaTheme="minorEastAsia" w:cstheme="minorEastAsia"/>
                <w:kern w:val="0"/>
                <w:sz w:val="21"/>
                <w:szCs w:val="21"/>
                <w:lang w:val="en-US" w:eastAsia="zh-CN"/>
              </w:rPr>
              <w:t>设备发生故障时，承诺2小时响应，8小时到场，24小时排除故障，故障无法解决需提供同等备用机给院方使用；</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1.2保修期满后，投标人应以优惠价供应维修零配件、消耗品和延续保修合同。价格最高的前5项零配件、消耗品和延续保修合同的报价明细填写于《零配件、消耗品和延续保修合同报价明清单》中。</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1.3采购人可与投标人就优惠价进行谈判，但优惠价不得高于投标人在投标文件的《零配件、消耗品和延续保修合同报价明清单》中承诺的维修零配件、消耗品和延续保修合同的报价。</w:t>
            </w:r>
          </w:p>
        </w:tc>
        <w:tc>
          <w:tcPr>
            <w:tcW w:w="1073" w:type="dxa"/>
            <w:noWrap w:val="0"/>
            <w:tcMar>
              <w:top w:w="0" w:type="dxa"/>
              <w:left w:w="108" w:type="dxa"/>
              <w:bottom w:w="0" w:type="dxa"/>
              <w:right w:w="108" w:type="dxa"/>
            </w:tcMar>
            <w:vAlign w:val="top"/>
          </w:tcPr>
          <w:p>
            <w:pPr>
              <w:widowControl/>
              <w:spacing w:line="240" w:lineRule="auto"/>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line="240" w:lineRule="auto"/>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line="240" w:lineRule="auto"/>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1.4设备制造商维修的货物经采购人验收合格，且设备制造商提供维修专用发票后，采购人支付维修费用。</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1.5投标人及设备制造商不得以任何理由不按时进行维修，不得要求采购人购买所谓“保修服务”（即：不论设备有无故障先买保修服务），不得在设备中嵌设任何不利于采购人使用与维修设备的障碍。</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421" w:type="dxa"/>
            <w:gridSpan w:val="6"/>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1</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交货要求</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1.1投标人在签订合同之日起</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rPr>
              <w:t>0天（日历日）内交货。</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投标人应提供货物的技术文件，包括但不限于设备配置清单、产品说明书、图纸、操作手册、维护手册（含维修密码及接口数据）、质量保证文件、服务指南等，所有外文资料提供中文译本。文件应随货物一并交付至采购人指定地点。</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1.3提供的货物为全新、经检验合格的产品。产品如需要计量检定的应提供相关计量检定部门出具的合法检定报告。</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2</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运输、安装和验收</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2.1投标人负责将货物安全无损运抵采购人指定地点,并承担设备的包装、运输、保险、装卸、安装调试、培训、商检及计量检测、增值税等费用。</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center"/>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2.2采购人有权检验或测试货物，以确认货物是否符合合同规格的要求。如果发现所交货物与投标文件中所承诺的不符或存在质量、技术缺陷等,采购人可以拒绝接收该货物,投标人应在 30 天内采取补足、更换或退货等措施,以满足规格的要求，由此发生的一切损失和费用由投标人承担。</w:t>
            </w:r>
          </w:p>
        </w:tc>
        <w:tc>
          <w:tcPr>
            <w:tcW w:w="1073" w:type="dxa"/>
            <w:noWrap w:val="0"/>
            <w:tcMar>
              <w:top w:w="0" w:type="dxa"/>
              <w:left w:w="108" w:type="dxa"/>
              <w:bottom w:w="0" w:type="dxa"/>
              <w:right w:w="108" w:type="dxa"/>
            </w:tcMar>
            <w:vAlign w:val="center"/>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center"/>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center"/>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2.3投标人负责货物的现场安装和调试,提供货物安装、调试和维修所需的专用工具和辅助材料。投标人应在货物运至指定地点后一周内开始安装调试,并在 7 天内安装调试完毕。</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2.4由投标人代表和采购人组成验收小组对产品进行验收。验收标准按照国家规定标准执行。经检验设备正常运作后签署验收报告,产品保修期自验收合格之日起算。</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3</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培训</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3.1中标人应派专业技术人员免费对采购单位指定人员进行定期培训及指导，直至其完全掌握设备的基本故障处理技术。</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vMerge w:val="continue"/>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b/>
                <w:bCs/>
                <w:kern w:val="0"/>
                <w:sz w:val="21"/>
                <w:szCs w:val="21"/>
              </w:rPr>
            </w:pPr>
          </w:p>
        </w:tc>
        <w:tc>
          <w:tcPr>
            <w:tcW w:w="0" w:type="auto"/>
            <w:vMerge w:val="continue"/>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b/>
                <w:bCs/>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3.2对医院操作人员、设备维修维护人员进行日常保养和维修培训，协助医院建立维护保养计划和作业指导。</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4</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知识产权</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投标人应保证采购人在使用该货物或其任何一部分时，免受第三方提出的侵犯其专利权、商标权、著作权或其它知识产权的起诉。投标人保证所提供软件的合法性，所发生的任何知识产权纠纷与采购人无关。若因为知识产权纠纷造成的一切损害赔偿及损失由投标人承担，包括但不限于实际损失、预期损失和对方要求赔偿损失及支出的律师费、交通费和差旅费等。</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4.2采购人购买产品后，有权对该产品与其他设备进行配套、整合或适当改进，而免受侵犯专利权的起诉。</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0" w:type="auto"/>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5</w:t>
            </w:r>
          </w:p>
        </w:tc>
        <w:tc>
          <w:tcPr>
            <w:tcW w:w="0" w:type="auto"/>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付款方式</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5.1</w:t>
            </w:r>
            <w:r>
              <w:rPr>
                <w:rFonts w:hint="eastAsia" w:asciiTheme="minorEastAsia" w:hAnsiTheme="minorEastAsia" w:eastAsiaTheme="minorEastAsia" w:cstheme="minorEastAsia"/>
                <w:kern w:val="0"/>
                <w:sz w:val="21"/>
                <w:szCs w:val="21"/>
                <w:lang w:val="en-US" w:eastAsia="zh-CN"/>
              </w:rPr>
              <w:t>合同签订后</w:t>
            </w:r>
            <w:r>
              <w:rPr>
                <w:rFonts w:hint="eastAsia" w:asciiTheme="minorEastAsia" w:hAnsiTheme="minorEastAsia" w:eastAsiaTheme="minorEastAsia" w:cstheme="minorEastAsia"/>
                <w:kern w:val="0"/>
                <w:sz w:val="21"/>
                <w:szCs w:val="21"/>
              </w:rPr>
              <w:t>中标人</w:t>
            </w:r>
            <w:r>
              <w:rPr>
                <w:rFonts w:hint="eastAsia" w:asciiTheme="minorEastAsia" w:hAnsiTheme="minorEastAsia" w:eastAsiaTheme="minorEastAsia" w:cstheme="minorEastAsia"/>
                <w:kern w:val="0"/>
                <w:sz w:val="21"/>
                <w:szCs w:val="21"/>
                <w:lang w:val="en-US" w:eastAsia="zh-CN"/>
              </w:rPr>
              <w:t>提交</w:t>
            </w:r>
            <w:r>
              <w:rPr>
                <w:rFonts w:hint="eastAsia" w:asciiTheme="minorEastAsia" w:hAnsiTheme="minorEastAsia" w:eastAsiaTheme="minorEastAsia" w:cstheme="minorEastAsia"/>
                <w:kern w:val="0"/>
                <w:sz w:val="21"/>
                <w:szCs w:val="21"/>
                <w:lang w:eastAsia="zh-CN"/>
              </w:rPr>
              <w:t>履约保证金</w:t>
            </w:r>
            <w:r>
              <w:rPr>
                <w:rFonts w:hint="eastAsia" w:asciiTheme="minorEastAsia" w:hAnsiTheme="minorEastAsia" w:eastAsiaTheme="minorEastAsia" w:cstheme="minorEastAsia"/>
                <w:kern w:val="0"/>
                <w:sz w:val="21"/>
                <w:szCs w:val="21"/>
              </w:rPr>
              <w:t>，货到安装验收合格后，采购人一次性支付中标人100%货款</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0" w:type="auto"/>
            <w:vMerge w:val="restart"/>
            <w:noWrap w:val="0"/>
            <w:tcMar>
              <w:top w:w="0" w:type="dxa"/>
              <w:left w:w="108" w:type="dxa"/>
              <w:bottom w:w="0"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6</w:t>
            </w:r>
          </w:p>
        </w:tc>
        <w:tc>
          <w:tcPr>
            <w:tcW w:w="0" w:type="auto"/>
            <w:vMerge w:val="restart"/>
            <w:noWrap w:val="0"/>
            <w:tcMar>
              <w:top w:w="0" w:type="dxa"/>
              <w:left w:w="108" w:type="dxa"/>
              <w:bottom w:w="0" w:type="dxa"/>
              <w:right w:w="108" w:type="dxa"/>
            </w:tcMar>
            <w:vAlign w:val="center"/>
          </w:tcPr>
          <w:p>
            <w:pPr>
              <w:widowControl/>
              <w:spacing w:before="100" w:beforeAutospacing="1" w:after="100" w:afterAutospacing="1"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违约责任</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6.1如投标人未按照投标文件中承诺的时间交货或提供服务，投标人应承担延期交货和延期服务的违约责任，并赔偿采购人因此造成的实际经济损失。实际经济损失超出履约保证金额，采购人有权</w:t>
            </w:r>
            <w:r>
              <w:rPr>
                <w:rFonts w:hint="eastAsia" w:asciiTheme="minorEastAsia" w:hAnsiTheme="minorEastAsia" w:eastAsiaTheme="minorEastAsia" w:cstheme="minorEastAsia"/>
                <w:kern w:val="0"/>
                <w:sz w:val="21"/>
                <w:szCs w:val="21"/>
                <w:lang w:val="en-US" w:eastAsia="zh-CN"/>
              </w:rPr>
              <w:t>上报主管部门申请</w:t>
            </w:r>
            <w:r>
              <w:rPr>
                <w:rFonts w:hint="eastAsia" w:asciiTheme="minorEastAsia" w:hAnsiTheme="minorEastAsia" w:eastAsiaTheme="minorEastAsia" w:cstheme="minorEastAsia"/>
                <w:kern w:val="0"/>
                <w:sz w:val="21"/>
                <w:szCs w:val="21"/>
              </w:rPr>
              <w:t>终止合同。</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6.2投标人所交设备的品种、型号、规格、质量、功能、技术参数等方面不能实质性满足招标文件要约的，采购人有权拒绝收货，投标人向采购人偿付项目采购金额</w:t>
            </w:r>
            <w:r>
              <w:rPr>
                <w:rFonts w:hint="eastAsia" w:asciiTheme="minorEastAsia" w:hAnsiTheme="minorEastAsia" w:eastAsiaTheme="minorEastAsia" w:cstheme="minorEastAsia"/>
                <w:kern w:val="0"/>
                <w:sz w:val="21"/>
                <w:szCs w:val="21"/>
                <w:u w:val="single"/>
              </w:rPr>
              <w:t>百分之三十</w:t>
            </w:r>
            <w:r>
              <w:rPr>
                <w:rFonts w:hint="eastAsia" w:asciiTheme="minorEastAsia" w:hAnsiTheme="minorEastAsia" w:eastAsiaTheme="minorEastAsia" w:cstheme="minorEastAsia"/>
                <w:kern w:val="0"/>
                <w:sz w:val="21"/>
                <w:szCs w:val="21"/>
              </w:rPr>
              <w:t>的违约金。</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6.3投标人不能交付设备的，投标人向采购人偿付项目采购金额</w:t>
            </w:r>
            <w:r>
              <w:rPr>
                <w:rFonts w:hint="eastAsia" w:asciiTheme="minorEastAsia" w:hAnsiTheme="minorEastAsia" w:eastAsiaTheme="minorEastAsia" w:cstheme="minorEastAsia"/>
                <w:kern w:val="0"/>
                <w:sz w:val="21"/>
                <w:szCs w:val="21"/>
                <w:u w:val="single"/>
              </w:rPr>
              <w:t>百分之三十</w:t>
            </w:r>
            <w:r>
              <w:rPr>
                <w:rFonts w:hint="eastAsia" w:asciiTheme="minorEastAsia" w:hAnsiTheme="minorEastAsia" w:eastAsiaTheme="minorEastAsia" w:cstheme="minorEastAsia"/>
                <w:kern w:val="0"/>
                <w:sz w:val="21"/>
                <w:szCs w:val="21"/>
              </w:rPr>
              <w:t>的违约金。</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center"/>
          </w:tcPr>
          <w:p>
            <w:pPr>
              <w:widowControl/>
              <w:spacing w:before="100" w:beforeAutospacing="1" w:after="100" w:afterAutospacing="1"/>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6.4投标人逾期未交设备的，投标人向采购人每日偿付设备款</w:t>
            </w:r>
            <w:r>
              <w:rPr>
                <w:rFonts w:hint="eastAsia" w:asciiTheme="minorEastAsia" w:hAnsiTheme="minorEastAsia" w:eastAsiaTheme="minorEastAsia" w:cstheme="minorEastAsia"/>
                <w:kern w:val="0"/>
                <w:sz w:val="21"/>
                <w:szCs w:val="21"/>
                <w:u w:val="single"/>
              </w:rPr>
              <w:t>万分之 三 </w:t>
            </w:r>
            <w:r>
              <w:rPr>
                <w:rFonts w:hint="eastAsia" w:asciiTheme="minorEastAsia" w:hAnsiTheme="minorEastAsia" w:eastAsiaTheme="minorEastAsia" w:cstheme="minorEastAsia"/>
                <w:kern w:val="0"/>
                <w:sz w:val="21"/>
                <w:szCs w:val="21"/>
              </w:rPr>
              <w:t>的违约金。</w:t>
            </w:r>
            <w:r>
              <w:rPr>
                <w:rFonts w:hint="eastAsia" w:asciiTheme="minorEastAsia" w:hAnsiTheme="minorEastAsia" w:eastAsiaTheme="minorEastAsia" w:cstheme="minorEastAsia"/>
                <w:color w:val="000000"/>
                <w:kern w:val="0"/>
                <w:sz w:val="21"/>
                <w:szCs w:val="21"/>
              </w:rPr>
              <w:t>投标人超过交货期限</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u w:val="single"/>
              </w:rPr>
              <w:t>30天</w:t>
            </w:r>
            <w:r>
              <w:rPr>
                <w:rFonts w:hint="eastAsia" w:asciiTheme="minorEastAsia" w:hAnsiTheme="minorEastAsia" w:eastAsiaTheme="minorEastAsia" w:cstheme="minorEastAsia"/>
                <w:vanish/>
                <w:color w:val="000000"/>
                <w:kern w:val="0"/>
                <w:sz w:val="21"/>
                <w:szCs w:val="21"/>
                <w:u w:val="single"/>
              </w:rPr>
              <w:t>携箱环境及</w:t>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vanish/>
                <w:color w:val="000000"/>
                <w:kern w:val="0"/>
                <w:sz w:val="21"/>
                <w:szCs w:val="21"/>
                <w:u w:val="single"/>
              </w:rPr>
              <w:fldChar w:fldCharType="begin"/>
            </w:r>
            <w:r>
              <w:rPr>
                <w:rFonts w:hint="eastAsia" w:asciiTheme="minorEastAsia" w:hAnsiTheme="minorEastAsia" w:eastAsiaTheme="minorEastAsia" w:cstheme="minorEastAsia"/>
                <w:vanish/>
                <w:color w:val="000000"/>
                <w:kern w:val="0"/>
                <w:sz w:val="21"/>
                <w:szCs w:val="21"/>
                <w:u w:val="single"/>
              </w:rPr>
              <w:instrText xml:space="preserve">PAGE</w:instrText>
            </w:r>
            <w:r>
              <w:rPr>
                <w:rFonts w:hint="eastAsia" w:asciiTheme="minorEastAsia" w:hAnsiTheme="minorEastAsia" w:eastAsiaTheme="minorEastAsia" w:cstheme="minorEastAsia"/>
                <w:vanish/>
                <w:color w:val="000000"/>
                <w:kern w:val="0"/>
                <w:sz w:val="21"/>
                <w:szCs w:val="21"/>
                <w:u w:val="single"/>
              </w:rPr>
              <w:fldChar w:fldCharType="separate"/>
            </w:r>
            <w:r>
              <w:rPr>
                <w:rFonts w:hint="eastAsia" w:asciiTheme="minorEastAsia" w:hAnsiTheme="minorEastAsia" w:eastAsiaTheme="minorEastAsia" w:cstheme="minorEastAsia"/>
                <w:vanish/>
                <w:color w:val="000000"/>
                <w:kern w:val="0"/>
                <w:sz w:val="21"/>
                <w:szCs w:val="21"/>
                <w:u w:val="single"/>
              </w:rPr>
              <w:t>15</w:t>
            </w:r>
            <w:r>
              <w:rPr>
                <w:rFonts w:hint="eastAsia" w:asciiTheme="minorEastAsia" w:hAnsiTheme="minorEastAsia" w:eastAsiaTheme="minorEastAsia" w:cstheme="minorEastAsia"/>
                <w:vanish/>
                <w:color w:val="000000"/>
                <w:kern w:val="0"/>
                <w:sz w:val="21"/>
                <w:szCs w:val="21"/>
                <w:u w:val="single"/>
              </w:rPr>
              <w:fldChar w:fldCharType="end"/>
            </w:r>
            <w:r>
              <w:rPr>
                <w:rFonts w:hint="eastAsia" w:asciiTheme="minorEastAsia" w:hAnsiTheme="minorEastAsia" w:eastAsiaTheme="minorEastAsia" w:cstheme="minorEastAsia"/>
                <w:color w:val="000000"/>
                <w:kern w:val="0"/>
                <w:sz w:val="21"/>
                <w:szCs w:val="21"/>
              </w:rPr>
              <w:t>仍未交货，采购人有权解除合同。</w:t>
            </w:r>
          </w:p>
        </w:tc>
        <w:tc>
          <w:tcPr>
            <w:tcW w:w="1073" w:type="dxa"/>
            <w:noWrap w:val="0"/>
            <w:tcMar>
              <w:top w:w="0" w:type="dxa"/>
              <w:left w:w="108" w:type="dxa"/>
              <w:bottom w:w="0" w:type="dxa"/>
              <w:right w:w="108" w:type="dxa"/>
            </w:tcMar>
            <w:vAlign w:val="center"/>
          </w:tcPr>
          <w:p>
            <w:pPr>
              <w:widowControl/>
              <w:spacing w:before="100" w:beforeAutospacing="1" w:after="100" w:afterAutospacing="1"/>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center"/>
          </w:tcPr>
          <w:p>
            <w:pPr>
              <w:widowControl/>
              <w:spacing w:before="100" w:beforeAutospacing="1" w:after="100" w:afterAutospacing="1"/>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center"/>
          </w:tcPr>
          <w:p>
            <w:pPr>
              <w:widowControl/>
              <w:spacing w:before="100" w:beforeAutospacing="1" w:after="100" w:afterAutospacing="1"/>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0" w:type="auto"/>
            <w:vMerge w:val="continue"/>
            <w:noWrap w:val="0"/>
            <w:vAlign w:val="center"/>
          </w:tcPr>
          <w:p>
            <w:pPr>
              <w:widowControl/>
              <w:jc w:val="left"/>
              <w:rPr>
                <w:rFonts w:hint="eastAsia" w:asciiTheme="minorEastAsia" w:hAnsiTheme="minorEastAsia" w:eastAsiaTheme="minorEastAsia" w:cstheme="minorEastAsia"/>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6.5违约金先从由投标人</w:t>
            </w:r>
            <w:r>
              <w:rPr>
                <w:rFonts w:hint="eastAsia" w:asciiTheme="minorEastAsia" w:hAnsiTheme="minorEastAsia" w:eastAsiaTheme="minorEastAsia" w:cstheme="minorEastAsia"/>
                <w:sz w:val="21"/>
                <w:szCs w:val="21"/>
                <w:lang w:val="en-US" w:eastAsia="zh-CN"/>
              </w:rPr>
              <w:t>履约保证金</w:t>
            </w:r>
            <w:r>
              <w:rPr>
                <w:rFonts w:hint="eastAsia" w:asciiTheme="minorEastAsia" w:hAnsiTheme="minorEastAsia" w:eastAsiaTheme="minorEastAsia" w:cstheme="minorEastAsia"/>
                <w:kern w:val="0"/>
                <w:sz w:val="21"/>
                <w:szCs w:val="21"/>
              </w:rPr>
              <w:t>中扣除，若有不足部分则由中标人补齐。</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0" w:type="auto"/>
            <w:vMerge w:val="restart"/>
            <w:noWrap w:val="0"/>
            <w:vAlign w:val="center"/>
          </w:tcPr>
          <w:p>
            <w:pPr>
              <w:widowControl/>
              <w:spacing w:before="100" w:beforeAutospacing="1" w:after="100" w:afterAutospacing="1"/>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7</w:t>
            </w:r>
          </w:p>
        </w:tc>
        <w:tc>
          <w:tcPr>
            <w:tcW w:w="0" w:type="auto"/>
            <w:vMerge w:val="restart"/>
            <w:noWrap w:val="0"/>
            <w:vAlign w:val="center"/>
          </w:tcPr>
          <w:p>
            <w:pPr>
              <w:widowControl/>
              <w:spacing w:before="100" w:beforeAutospacing="1" w:after="100" w:afterAutospacing="1"/>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其他</w:t>
            </w: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7.1投标人应按其投标文件中的承诺，进行其他售后服务工作。</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0" w:type="auto"/>
            <w:vMerge w:val="continue"/>
            <w:noWrap w:val="0"/>
            <w:vAlign w:val="center"/>
          </w:tcPr>
          <w:p>
            <w:pPr>
              <w:widowControl/>
              <w:spacing w:before="100" w:beforeAutospacing="1" w:after="100" w:afterAutospacing="1"/>
              <w:jc w:val="center"/>
              <w:rPr>
                <w:rFonts w:hint="eastAsia" w:asciiTheme="minorEastAsia" w:hAnsiTheme="minorEastAsia" w:eastAsiaTheme="minorEastAsia" w:cstheme="minorEastAsia"/>
                <w:b/>
                <w:bCs/>
                <w:kern w:val="0"/>
                <w:sz w:val="21"/>
                <w:szCs w:val="21"/>
              </w:rPr>
            </w:pPr>
          </w:p>
        </w:tc>
        <w:tc>
          <w:tcPr>
            <w:tcW w:w="0" w:type="auto"/>
            <w:vMerge w:val="continue"/>
            <w:noWrap w:val="0"/>
            <w:vAlign w:val="center"/>
          </w:tcPr>
          <w:p>
            <w:pPr>
              <w:widowControl/>
              <w:spacing w:before="100" w:beforeAutospacing="1" w:after="100" w:afterAutospacing="1"/>
              <w:jc w:val="center"/>
              <w:rPr>
                <w:rFonts w:hint="eastAsia" w:asciiTheme="minorEastAsia" w:hAnsiTheme="minorEastAsia" w:eastAsiaTheme="minorEastAsia" w:cstheme="minorEastAsia"/>
                <w:b/>
                <w:bCs/>
                <w:kern w:val="0"/>
                <w:sz w:val="21"/>
                <w:szCs w:val="21"/>
              </w:rPr>
            </w:pPr>
          </w:p>
        </w:tc>
        <w:tc>
          <w:tcPr>
            <w:tcW w:w="466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7.2</w:t>
            </w:r>
            <w:r>
              <w:rPr>
                <w:rFonts w:hint="default" w:asciiTheme="minorEastAsia" w:hAnsiTheme="minorEastAsia" w:eastAsiaTheme="minorEastAsia" w:cstheme="minorEastAsia"/>
                <w:kern w:val="0"/>
                <w:sz w:val="21"/>
                <w:szCs w:val="21"/>
                <w:lang w:eastAsia="zh-CN"/>
              </w:rPr>
              <w:t>负责接入医院信息系统，并承担接口开发费用。</w:t>
            </w:r>
          </w:p>
        </w:tc>
        <w:tc>
          <w:tcPr>
            <w:tcW w:w="1073"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lang w:val="en-US" w:eastAsia="zh-CN"/>
              </w:rPr>
            </w:pPr>
          </w:p>
        </w:tc>
        <w:tc>
          <w:tcPr>
            <w:tcW w:w="640" w:type="dxa"/>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lang w:val="en-US" w:eastAsia="zh-CN"/>
              </w:rPr>
            </w:pPr>
          </w:p>
        </w:tc>
        <w:tc>
          <w:tcPr>
            <w:tcW w:w="0" w:type="auto"/>
            <w:noWrap w:val="0"/>
            <w:tcMar>
              <w:top w:w="0" w:type="dxa"/>
              <w:left w:w="108" w:type="dxa"/>
              <w:bottom w:w="0" w:type="dxa"/>
              <w:right w:w="108" w:type="dxa"/>
            </w:tcMar>
            <w:vAlign w:val="top"/>
          </w:tcPr>
          <w:p>
            <w:pPr>
              <w:widowControl/>
              <w:spacing w:before="100" w:beforeAutospacing="1" w:after="100" w:afterAutospacing="1"/>
              <w:jc w:val="left"/>
              <w:rPr>
                <w:rFonts w:hint="eastAsia" w:asciiTheme="minorEastAsia" w:hAnsiTheme="minorEastAsia" w:eastAsiaTheme="minorEastAsia" w:cstheme="minorEastAsia"/>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0" w:type="auto"/>
            <w:noWrap w:val="0"/>
            <w:vAlign w:val="center"/>
          </w:tcPr>
          <w:p>
            <w:pPr>
              <w:jc w:val="center"/>
              <w:rPr>
                <w:rFonts w:hint="eastAsia" w:eastAsia="宋体" w:asciiTheme="minorEastAsia" w:hAnsiTheme="minorEastAsia" w:cstheme="minorEastAsia"/>
                <w:b/>
                <w:bCs/>
                <w:kern w:val="0"/>
                <w:sz w:val="21"/>
                <w:szCs w:val="21"/>
                <w:lang w:eastAsia="zh-CN"/>
              </w:rPr>
            </w:pPr>
            <w:r>
              <w:rPr>
                <w:rFonts w:hint="eastAsia"/>
                <w:lang w:val="en-US" w:eastAsia="zh-CN"/>
              </w:rPr>
              <w:t>8</w:t>
            </w:r>
          </w:p>
        </w:tc>
        <w:tc>
          <w:tcPr>
            <w:tcW w:w="0" w:type="auto"/>
            <w:noWrap w:val="0"/>
            <w:vAlign w:val="center"/>
          </w:tcPr>
          <w:p>
            <w:pPr>
              <w:jc w:val="center"/>
              <w:rPr>
                <w:rFonts w:hint="eastAsia" w:asciiTheme="minorEastAsia" w:hAnsiTheme="minorEastAsia" w:eastAsiaTheme="minorEastAsia" w:cstheme="minorEastAsia"/>
                <w:b/>
                <w:bCs/>
                <w:kern w:val="0"/>
                <w:sz w:val="21"/>
                <w:szCs w:val="21"/>
              </w:rPr>
            </w:pPr>
            <w:r>
              <w:rPr>
                <w:rFonts w:hint="eastAsia"/>
                <w:b/>
              </w:rPr>
              <w:t>项目（产品）要求</w:t>
            </w:r>
          </w:p>
        </w:tc>
        <w:tc>
          <w:tcPr>
            <w:tcW w:w="4660" w:type="dxa"/>
            <w:noWrap w:val="0"/>
            <w:tcMar>
              <w:top w:w="0" w:type="dxa"/>
              <w:left w:w="108" w:type="dxa"/>
              <w:bottom w:w="0" w:type="dxa"/>
              <w:right w:w="108" w:type="dxa"/>
            </w:tcMar>
            <w:vAlign w:val="top"/>
          </w:tcPr>
          <w:p>
            <w:pPr>
              <w:rPr>
                <w:rFonts w:hint="eastAsia" w:asciiTheme="minorEastAsia" w:hAnsiTheme="minorEastAsia" w:eastAsiaTheme="minorEastAsia" w:cstheme="minorEastAsia"/>
                <w:kern w:val="0"/>
                <w:sz w:val="21"/>
                <w:szCs w:val="21"/>
              </w:rPr>
            </w:pPr>
            <w:r>
              <w:rPr>
                <w:rFonts w:hint="eastAsia"/>
                <w:b/>
                <w:bCs/>
                <w:color w:val="FF0000"/>
              </w:rPr>
              <w:t>★</w:t>
            </w:r>
            <w:r>
              <w:rPr>
                <w:rFonts w:hint="eastAsia" w:ascii="宋体" w:hAnsi="宋体"/>
                <w:b/>
                <w:bCs/>
                <w:color w:val="FF0000"/>
              </w:rPr>
              <w:t>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w:t>
            </w:r>
            <w:r>
              <w:rPr>
                <w:rFonts w:hint="eastAsia"/>
                <w:b/>
                <w:bCs/>
                <w:color w:val="FF0000"/>
              </w:rPr>
              <w:t>(</w:t>
            </w:r>
            <w:r>
              <w:rPr>
                <w:rFonts w:hint="eastAsia" w:ascii="宋体" w:hAnsi="宋体"/>
                <w:b/>
                <w:bCs/>
                <w:color w:val="FF0000"/>
              </w:rPr>
              <w:t>有效期内</w:t>
            </w:r>
            <w:r>
              <w:rPr>
                <w:rFonts w:hint="eastAsia"/>
                <w:b/>
                <w:bCs/>
                <w:color w:val="FF0000"/>
              </w:rPr>
              <w:t>)</w:t>
            </w:r>
            <w:r>
              <w:rPr>
                <w:rFonts w:hint="eastAsia" w:ascii="宋体" w:hAnsi="宋体"/>
                <w:b/>
                <w:bCs/>
                <w:color w:val="FF0000"/>
              </w:rPr>
              <w:t>扫描件，原件备查。</w:t>
            </w:r>
          </w:p>
        </w:tc>
        <w:tc>
          <w:tcPr>
            <w:tcW w:w="1073" w:type="dxa"/>
            <w:noWrap w:val="0"/>
            <w:tcMar>
              <w:top w:w="0" w:type="dxa"/>
              <w:left w:w="108" w:type="dxa"/>
              <w:bottom w:w="0" w:type="dxa"/>
              <w:right w:w="108" w:type="dxa"/>
            </w:tcMar>
            <w:vAlign w:val="top"/>
          </w:tcPr>
          <w:p>
            <w:pPr>
              <w:rPr>
                <w:rFonts w:hint="eastAsia"/>
                <w:b/>
                <w:bCs/>
                <w:color w:val="FF0000"/>
              </w:rPr>
            </w:pPr>
          </w:p>
        </w:tc>
        <w:tc>
          <w:tcPr>
            <w:tcW w:w="640" w:type="dxa"/>
            <w:noWrap w:val="0"/>
            <w:tcMar>
              <w:top w:w="0" w:type="dxa"/>
              <w:left w:w="108" w:type="dxa"/>
              <w:bottom w:w="0" w:type="dxa"/>
              <w:right w:w="108" w:type="dxa"/>
            </w:tcMar>
            <w:vAlign w:val="top"/>
          </w:tcPr>
          <w:p>
            <w:pPr>
              <w:rPr>
                <w:rFonts w:hint="eastAsia"/>
                <w:b/>
                <w:bCs/>
                <w:color w:val="FF0000"/>
              </w:rPr>
            </w:pPr>
          </w:p>
        </w:tc>
        <w:tc>
          <w:tcPr>
            <w:tcW w:w="0" w:type="auto"/>
            <w:noWrap w:val="0"/>
            <w:tcMar>
              <w:top w:w="0" w:type="dxa"/>
              <w:left w:w="108" w:type="dxa"/>
              <w:bottom w:w="0" w:type="dxa"/>
              <w:right w:w="108" w:type="dxa"/>
            </w:tcMar>
            <w:vAlign w:val="top"/>
          </w:tcPr>
          <w:p>
            <w:pPr>
              <w:rPr>
                <w:rFonts w:hint="eastAsia"/>
                <w:b/>
                <w:bCs/>
                <w:color w:val="FF0000"/>
              </w:rPr>
            </w:pPr>
          </w:p>
        </w:tc>
      </w:tr>
    </w:tbl>
    <w:p>
      <w:pPr>
        <w:ind w:firstLine="482" w:firstLineChars="200"/>
        <w:rPr>
          <w:b/>
          <w:sz w:val="24"/>
        </w:rPr>
      </w:pPr>
      <w:r>
        <w:rPr>
          <w:rFonts w:hint="eastAsia"/>
          <w:b/>
          <w:sz w:val="24"/>
        </w:rPr>
        <w:t>《商务要求偏离表》编制指引：</w:t>
      </w:r>
    </w:p>
    <w:p>
      <w:pPr>
        <w:ind w:firstLine="482" w:firstLineChars="200"/>
        <w:rPr>
          <w:b/>
          <w:sz w:val="24"/>
        </w:rPr>
      </w:pPr>
      <w:r>
        <w:rPr>
          <w:rFonts w:hint="eastAsia"/>
          <w:b/>
          <w:sz w:val="24"/>
        </w:rPr>
        <w:t>1、商务要求偏离表的序号、商务需求项、招标商务要求等栏目对应“用户需求书”中的“商务要求”章节相关内容。</w:t>
      </w:r>
    </w:p>
    <w:p>
      <w:pPr>
        <w:ind w:firstLine="482" w:firstLineChars="200"/>
        <w:rPr>
          <w:b/>
          <w:sz w:val="24"/>
        </w:rPr>
      </w:pPr>
      <w:r>
        <w:rPr>
          <w:b/>
          <w:sz w:val="24"/>
        </w:rPr>
        <w:t>2</w:t>
      </w:r>
      <w:r>
        <w:rPr>
          <w:rFonts w:hint="eastAsia"/>
          <w:b/>
          <w:sz w:val="24"/>
        </w:rPr>
        <w:t>、“投标商务响应”一栏必须一一对照“招标商务要求”，详细填写自身响应情况，以体现具体响应情况。</w:t>
      </w:r>
    </w:p>
    <w:p>
      <w:pPr>
        <w:ind w:firstLine="482" w:firstLineChars="200"/>
        <w:rPr>
          <w:color w:val="FF0000"/>
          <w:sz w:val="24"/>
        </w:rPr>
      </w:pPr>
      <w:r>
        <w:rPr>
          <w:b/>
          <w:sz w:val="24"/>
        </w:rPr>
        <w:t>3</w:t>
      </w:r>
      <w:r>
        <w:rPr>
          <w:rFonts w:hint="eastAsia"/>
          <w:b/>
          <w:sz w:val="24"/>
        </w:rPr>
        <w:t>、“偏离情况”一栏填写如实填写“正偏离”、“负偏离”或“无偏离”，其中：“正偏离”表示“投标响应优于招标商务要求”，“负偏离”表示“投标响应不满足招标商务要求”，“无偏离”表示“投标响应与招标商务要求一致”。</w:t>
      </w:r>
    </w:p>
    <w:p>
      <w:pPr>
        <w:rPr>
          <w:sz w:val="24"/>
        </w:rPr>
      </w:pPr>
      <w:r>
        <w:rPr>
          <w:rFonts w:hint="eastAsia"/>
          <w:b/>
          <w:sz w:val="24"/>
        </w:rPr>
        <w:t>“投标商务响应”对比“招标商务要求”存在响应不全（包括未响应整项招标商务要求或者未响应一项招标商务要求的部分内容），均视为“负偏离”。</w:t>
      </w:r>
    </w:p>
    <w:p>
      <w:pPr>
        <w:rPr>
          <w:b/>
          <w:bCs/>
          <w:sz w:val="24"/>
        </w:rPr>
      </w:pPr>
    </w:p>
    <w:p>
      <w:pPr>
        <w:outlineLvl w:val="3"/>
        <w:rPr>
          <w:rFonts w:ascii="黑体" w:hAnsi="宋体" w:eastAsia="黑体"/>
          <w:bCs/>
          <w:kern w:val="0"/>
          <w:sz w:val="24"/>
          <w:szCs w:val="32"/>
        </w:rPr>
      </w:pPr>
      <w:r>
        <w:rPr>
          <w:rFonts w:hint="eastAsia" w:ascii="黑体" w:eastAsia="黑体"/>
          <w:sz w:val="24"/>
          <w:szCs w:val="20"/>
        </w:rPr>
        <w:t>六、项目重点难点分析、应对措施及相关的合理化建议</w:t>
      </w:r>
    </w:p>
    <w:p>
      <w:pPr>
        <w:outlineLvl w:val="3"/>
        <w:rPr>
          <w:b/>
          <w:color w:val="FF0000"/>
          <w:sz w:val="22"/>
        </w:rPr>
      </w:pPr>
      <w:r>
        <w:rPr>
          <w:rFonts w:hint="eastAsia"/>
          <w:b/>
          <w:color w:val="FF0000"/>
          <w:sz w:val="22"/>
        </w:rPr>
        <w:t>（特别提示：投标人须按本招标文件评标信息中“项目重点难点分析、应对措施及相关的合理化建议”这一评审因素要求，提供证明资料）</w:t>
      </w:r>
    </w:p>
    <w:p>
      <w:pPr>
        <w:rPr>
          <w:b/>
          <w:sz w:val="22"/>
        </w:rPr>
      </w:pPr>
    </w:p>
    <w:p>
      <w:pPr>
        <w:outlineLvl w:val="3"/>
        <w:rPr>
          <w:rFonts w:ascii="黑体" w:hAnsi="宋体" w:eastAsia="黑体"/>
          <w:bCs/>
          <w:kern w:val="0"/>
          <w:sz w:val="24"/>
          <w:szCs w:val="32"/>
        </w:rPr>
      </w:pPr>
      <w:r>
        <w:rPr>
          <w:rFonts w:hint="eastAsia" w:ascii="黑体" w:hAnsi="宋体" w:eastAsia="黑体"/>
          <w:bCs/>
          <w:kern w:val="0"/>
          <w:sz w:val="24"/>
          <w:szCs w:val="32"/>
        </w:rPr>
        <w:t>七、实施方案</w:t>
      </w:r>
    </w:p>
    <w:p>
      <w:pPr>
        <w:rPr>
          <w:b/>
          <w:color w:val="FF0000"/>
          <w:sz w:val="22"/>
        </w:rPr>
      </w:pPr>
      <w:r>
        <w:rPr>
          <w:rFonts w:hint="eastAsia"/>
          <w:b/>
          <w:color w:val="FF0000"/>
          <w:sz w:val="22"/>
        </w:rPr>
        <w:t>（特别提示：投标人须按本招标文件评标信息中“实施方案”这一评审因素要求，提供证明资料）</w:t>
      </w:r>
    </w:p>
    <w:p>
      <w:pPr>
        <w:rPr>
          <w:b/>
          <w:sz w:val="22"/>
        </w:rPr>
      </w:pPr>
    </w:p>
    <w:p>
      <w:pPr>
        <w:rPr>
          <w:b/>
          <w:sz w:val="22"/>
        </w:rPr>
      </w:pPr>
      <w:r>
        <w:rPr>
          <w:rFonts w:hint="eastAsia"/>
          <w:b/>
          <w:sz w:val="22"/>
        </w:rPr>
        <w:t>八、售后服务方案</w:t>
      </w:r>
    </w:p>
    <w:p>
      <w:pPr>
        <w:rPr>
          <w:b/>
          <w:color w:val="FF0000"/>
          <w:sz w:val="22"/>
        </w:rPr>
      </w:pPr>
      <w:r>
        <w:rPr>
          <w:rFonts w:hint="eastAsia"/>
          <w:b/>
          <w:color w:val="FF0000"/>
          <w:sz w:val="22"/>
        </w:rPr>
        <w:t>（特别提示：投标人须按本招标文件评标信息中“售后服务方案”这一评审因素要求，提供证明资料）</w:t>
      </w:r>
    </w:p>
    <w:p>
      <w:pPr>
        <w:pStyle w:val="18"/>
      </w:pPr>
    </w:p>
    <w:p>
      <w:pPr>
        <w:outlineLvl w:val="3"/>
        <w:rPr>
          <w:rFonts w:hint="eastAsia" w:ascii="黑体" w:hAnsi="宋体" w:eastAsia="黑体"/>
          <w:bCs/>
          <w:kern w:val="0"/>
          <w:sz w:val="24"/>
          <w:szCs w:val="32"/>
        </w:rPr>
      </w:pPr>
      <w:r>
        <w:rPr>
          <w:rFonts w:hint="eastAsia" w:ascii="黑体" w:hAnsi="宋体" w:eastAsia="黑体"/>
          <w:bCs/>
          <w:kern w:val="0"/>
          <w:sz w:val="24"/>
          <w:szCs w:val="32"/>
        </w:rPr>
        <w:t>九、拟安排的项目负责人情况(仅限一人)</w:t>
      </w:r>
    </w:p>
    <w:p>
      <w:pPr>
        <w:outlineLvl w:val="3"/>
        <w:rPr>
          <w:rFonts w:hint="eastAsia"/>
          <w:b/>
          <w:color w:val="FF0000"/>
          <w:sz w:val="22"/>
        </w:rPr>
      </w:pPr>
      <w:r>
        <w:rPr>
          <w:rFonts w:hint="eastAsia"/>
          <w:b/>
          <w:color w:val="FF0000"/>
          <w:sz w:val="22"/>
        </w:rPr>
        <w:t>（特别提示：投标人须按本招标文件评标信息中“拟安排的项目负责人情况(仅限一人)</w:t>
      </w:r>
    </w:p>
    <w:p>
      <w:pPr>
        <w:outlineLvl w:val="3"/>
        <w:rPr>
          <w:rFonts w:hint="eastAsia" w:ascii="黑体" w:hAnsi="宋体" w:eastAsia="黑体"/>
          <w:bCs/>
          <w:kern w:val="0"/>
          <w:sz w:val="24"/>
          <w:szCs w:val="32"/>
        </w:rPr>
      </w:pPr>
      <w:r>
        <w:rPr>
          <w:rFonts w:hint="eastAsia"/>
          <w:b/>
          <w:color w:val="FF0000"/>
          <w:sz w:val="22"/>
        </w:rPr>
        <w:t>”这一评审因素要求，提供证明资料）</w:t>
      </w:r>
    </w:p>
    <w:p>
      <w:pPr>
        <w:outlineLvl w:val="3"/>
        <w:rPr>
          <w:rFonts w:hint="eastAsia" w:ascii="黑体" w:hAnsi="宋体" w:eastAsia="黑体"/>
          <w:bCs/>
          <w:kern w:val="0"/>
          <w:sz w:val="24"/>
          <w:szCs w:val="32"/>
        </w:rPr>
      </w:pPr>
    </w:p>
    <w:p>
      <w:pPr>
        <w:outlineLvl w:val="3"/>
        <w:rPr>
          <w:rFonts w:hint="eastAsia" w:ascii="黑体" w:hAnsi="宋体" w:eastAsia="黑体"/>
          <w:bCs/>
          <w:kern w:val="0"/>
          <w:sz w:val="24"/>
          <w:szCs w:val="32"/>
          <w:lang w:val="en-US" w:eastAsia="zh-CN"/>
        </w:rPr>
      </w:pPr>
      <w:r>
        <w:rPr>
          <w:rFonts w:hint="eastAsia" w:ascii="黑体" w:hAnsi="宋体" w:eastAsia="黑体"/>
          <w:bCs/>
          <w:kern w:val="0"/>
          <w:sz w:val="24"/>
          <w:szCs w:val="32"/>
          <w:lang w:val="en-US" w:eastAsia="zh-CN"/>
        </w:rPr>
        <w:t>十、拟安排的项目主要管理团队成员(含主要技术人员)情况(项目负责人除外)</w:t>
      </w:r>
    </w:p>
    <w:p>
      <w:pPr>
        <w:pStyle w:val="18"/>
        <w:rPr>
          <w:rFonts w:hint="eastAsia"/>
        </w:rPr>
      </w:pPr>
      <w:r>
        <w:rPr>
          <w:rFonts w:hint="eastAsia"/>
          <w:b/>
          <w:color w:val="FF0000"/>
          <w:sz w:val="22"/>
        </w:rPr>
        <w:t>（特别提示：投标人须按本招标文件评标信息中“拟安排的项目主要管理团队成员(含主要技术人员)情况(项目负责人除外)”这一评审因素要求，提供证明资料）</w:t>
      </w:r>
    </w:p>
    <w:p>
      <w:pPr>
        <w:outlineLvl w:val="3"/>
        <w:rPr>
          <w:rFonts w:hint="eastAsia" w:ascii="黑体" w:hAnsi="宋体" w:eastAsia="黑体"/>
          <w:bCs/>
          <w:kern w:val="0"/>
          <w:sz w:val="24"/>
          <w:szCs w:val="32"/>
        </w:rPr>
      </w:pPr>
    </w:p>
    <w:p>
      <w:pPr>
        <w:outlineLvl w:val="3"/>
        <w:rPr>
          <w:rFonts w:ascii="黑体" w:hAnsi="宋体" w:eastAsia="黑体"/>
          <w:bCs/>
          <w:kern w:val="0"/>
          <w:sz w:val="24"/>
          <w:szCs w:val="32"/>
        </w:rPr>
      </w:pPr>
      <w:r>
        <w:rPr>
          <w:rFonts w:hint="eastAsia" w:ascii="黑体" w:hAnsi="宋体" w:eastAsia="黑体"/>
          <w:bCs/>
          <w:kern w:val="0"/>
          <w:sz w:val="24"/>
          <w:szCs w:val="32"/>
          <w:lang w:val="en-US" w:eastAsia="zh-CN"/>
        </w:rPr>
        <w:t>十一、</w:t>
      </w:r>
      <w:r>
        <w:rPr>
          <w:rFonts w:hint="eastAsia" w:ascii="黑体" w:hAnsi="宋体" w:eastAsia="黑体"/>
          <w:bCs/>
          <w:kern w:val="0"/>
          <w:sz w:val="24"/>
          <w:szCs w:val="32"/>
        </w:rPr>
        <w:t>投标人认为需要加以说明的其他内容（格式自定）</w:t>
      </w:r>
    </w:p>
    <w:p>
      <w:pPr>
        <w:rPr>
          <w:rFonts w:ascii="黑体" w:hAnsi="宋体" w:eastAsia="黑体"/>
          <w:sz w:val="24"/>
          <w:szCs w:val="20"/>
        </w:rPr>
      </w:pPr>
    </w:p>
    <w:p>
      <w:pPr>
        <w:rPr>
          <w:rFonts w:ascii="黑体" w:hAnsi="宋体" w:eastAsia="黑体"/>
          <w:sz w:val="24"/>
          <w:szCs w:val="20"/>
        </w:rPr>
      </w:pPr>
      <w:r>
        <w:rPr>
          <w:rFonts w:hint="eastAsia" w:ascii="黑体" w:hAnsi="宋体" w:eastAsia="黑体"/>
          <w:sz w:val="24"/>
          <w:szCs w:val="20"/>
        </w:rPr>
        <w:t>（1）政府采购违法行为风险知悉确认书</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本公司在投标前已充分知悉以下情形为参与政府采购活动时的重大风险事项，并承诺已对下述风险提示事项重点排查，做到严谨、诚信、依法依规参与政府采购活动。</w:t>
      </w:r>
    </w:p>
    <w:p>
      <w:pPr>
        <w:ind w:firstLine="422" w:firstLineChars="200"/>
        <w:rPr>
          <w:b/>
          <w:bCs/>
          <w:szCs w:val="21"/>
        </w:rPr>
      </w:pPr>
      <w:r>
        <w:rPr>
          <w:rFonts w:hint="eastAsia" w:ascii="宋体" w:hAnsi="宋体"/>
          <w:b/>
          <w:bCs/>
          <w:szCs w:val="21"/>
        </w:rPr>
        <w:t>一、本公司已充分知悉</w:t>
      </w:r>
      <w:r>
        <w:rPr>
          <w:rFonts w:hint="eastAsia"/>
          <w:b/>
          <w:bCs/>
          <w:szCs w:val="21"/>
        </w:rPr>
        <w:t>“</w:t>
      </w:r>
      <w:r>
        <w:rPr>
          <w:rFonts w:hint="eastAsia" w:ascii="宋体" w:hAnsi="宋体"/>
          <w:b/>
          <w:bCs/>
          <w:szCs w:val="21"/>
        </w:rPr>
        <w:t>隐瞒真实情况，提供虚假资料</w:t>
      </w:r>
      <w:r>
        <w:rPr>
          <w:rFonts w:hint="eastAsia"/>
          <w:b/>
          <w:bCs/>
          <w:szCs w:val="21"/>
        </w:rPr>
        <w:t>”</w:t>
      </w:r>
      <w:r>
        <w:rPr>
          <w:rFonts w:hint="eastAsia" w:ascii="宋体" w:hAnsi="宋体"/>
          <w:b/>
          <w:bCs/>
          <w:szCs w:val="21"/>
        </w:rPr>
        <w:t>的法定情形，相关情形包括但不限于：</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（一）通过转让或者租借等方式从其他单位获取资格或者资质证书投标的。</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（二）由其他单位或者其他单位负责人在投标供应商编制的投标文件上加盖印章或者签字的。</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（三）项目负责人或者主要技术人员不是本单位人员的。</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（四）投标保证金不是从投标供应商基本账户转出的。</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（五）其他隐瞒真实情况、提供虚假资料的行为。</w:t>
      </w:r>
    </w:p>
    <w:p>
      <w:pPr>
        <w:ind w:firstLine="422" w:firstLineChars="200"/>
        <w:rPr>
          <w:b/>
          <w:bCs/>
          <w:szCs w:val="21"/>
        </w:rPr>
      </w:pPr>
      <w:r>
        <w:rPr>
          <w:rFonts w:hint="eastAsia" w:ascii="宋体" w:hAnsi="宋体"/>
          <w:b/>
          <w:bCs/>
          <w:szCs w:val="21"/>
        </w:rPr>
        <w:t>二、本公司已充分知悉</w:t>
      </w:r>
      <w:r>
        <w:rPr>
          <w:rFonts w:hint="eastAsia"/>
          <w:b/>
          <w:bCs/>
          <w:szCs w:val="21"/>
        </w:rPr>
        <w:t>“</w:t>
      </w:r>
      <w:r>
        <w:rPr>
          <w:rFonts w:hint="eastAsia" w:ascii="宋体" w:hAnsi="宋体"/>
          <w:b/>
          <w:bCs/>
          <w:szCs w:val="21"/>
        </w:rPr>
        <w:t>与其他采购参加人串通投标</w:t>
      </w:r>
      <w:r>
        <w:rPr>
          <w:rFonts w:hint="eastAsia"/>
          <w:b/>
          <w:bCs/>
          <w:szCs w:val="21"/>
        </w:rPr>
        <w:t>”</w:t>
      </w:r>
      <w:r>
        <w:rPr>
          <w:rFonts w:hint="eastAsia" w:ascii="宋体" w:hAnsi="宋体"/>
          <w:b/>
          <w:bCs/>
          <w:szCs w:val="21"/>
        </w:rPr>
        <w:t>的法定情形，相关情形包括但不限于：</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（一）投标供应商之间相互约定给予未中标的供应商利益补偿。</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（二）不同投标供应商的法定代表人、主要经营负责人、项目投标授权代表人、项目负责人、主要技术人员为同一人、属同一单位或者在同一单位缴纳社会保险。</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（三）不同投标供应商的投标文件由同一单位或者同一人编制，或者由同一人分阶段参与编制的。</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（四）不同投标供应商的投标文件或部分投标文件相互混装。</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（五）不同投标供应商的投标文件内容存在非正常一致。</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（六）由同一单位工作人员为两家以上（含两家）供应商进行同一项投标活动的。</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（七）不同投标人的投标报价呈规律性差异。</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（八）不同投标人的投标保证金从同一单位或者个人的账户转出。</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（九）主管部门依照法律、法规认定的其他情形。</w:t>
      </w:r>
    </w:p>
    <w:p>
      <w:pPr>
        <w:ind w:firstLine="422" w:firstLineChars="200"/>
        <w:rPr>
          <w:b/>
          <w:bCs/>
          <w:szCs w:val="21"/>
        </w:rPr>
      </w:pPr>
      <w:r>
        <w:rPr>
          <w:rFonts w:hint="eastAsia" w:ascii="宋体" w:hAnsi="宋体"/>
          <w:b/>
          <w:bCs/>
          <w:szCs w:val="21"/>
        </w:rPr>
        <w:t>三、本公司已充分知悉下列情形所对应的法律风险，并在投标前已对相关风险事项进行排查。</w:t>
      </w:r>
    </w:p>
    <w:p>
      <w:pPr>
        <w:autoSpaceDE w:val="0"/>
        <w:autoSpaceDN w:val="0"/>
        <w:spacing w:line="400" w:lineRule="exact"/>
        <w:ind w:firstLine="404" w:firstLineChars="200"/>
        <w:rPr>
          <w:rFonts w:ascii="宋体" w:hAnsi="宋体"/>
          <w:b/>
          <w:bCs/>
          <w:spacing w:val="-4"/>
          <w:kern w:val="0"/>
          <w:szCs w:val="21"/>
        </w:rPr>
      </w:pPr>
      <w:r>
        <w:rPr>
          <w:rFonts w:hint="eastAsia" w:ascii="宋体" w:hAnsi="宋体"/>
          <w:spacing w:val="-4"/>
          <w:kern w:val="0"/>
          <w:szCs w:val="21"/>
        </w:rPr>
        <w:t>（一）对于从其他主体获取的投标资料，供应商应审慎核查，确保投标资料的真实性。</w:t>
      </w:r>
      <w:r>
        <w:rPr>
          <w:rFonts w:hint="eastAsia" w:ascii="宋体" w:hAnsi="宋体"/>
          <w:b/>
          <w:bCs/>
          <w:spacing w:val="-4"/>
          <w:kern w:val="0"/>
          <w:szCs w:val="21"/>
        </w:rPr>
        <w:t>如主管部门查实投标文件中存在虚假资料的，无论相关资料是否由第三方或本公司员工提供，均不影响主管部门对供应商存在“隐瞒真实情况，提供虚假资料”违法行为的认定。</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（二）对于涉及国家机关出具的公文、证件、证明材料等文件，一旦涉嫌虚假，经查实，主管部门将依法从严处理，并移送有关部门追究法律责任；涉嫌犯罪的，主管部门将一并移送司法机关追究法律责任。</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（三）对于涉及安全生产、特种作业、抢险救灾、防疫等政府采购项目，供应商实施提供虚假资料、串通投标等违法行为的，主管部门将依法从严处理。</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pStyle w:val="38"/>
        <w:autoSpaceDE w:val="0"/>
        <w:autoSpaceDN w:val="0"/>
        <w:spacing w:beforeAutospacing="0" w:afterAutospacing="0" w:line="400" w:lineRule="exact"/>
        <w:ind w:firstLine="404" w:firstLineChars="200"/>
        <w:rPr>
          <w:rFonts w:ascii="宋体" w:hAnsi="宋体"/>
          <w:spacing w:val="-4"/>
          <w:sz w:val="21"/>
          <w:szCs w:val="21"/>
        </w:rPr>
      </w:pPr>
      <w:r>
        <w:rPr>
          <w:rFonts w:hint="eastAsia" w:ascii="宋体" w:hAnsi="宋体"/>
          <w:spacing w:val="-4"/>
          <w:sz w:val="21"/>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pStyle w:val="38"/>
        <w:autoSpaceDE w:val="0"/>
        <w:autoSpaceDN w:val="0"/>
        <w:spacing w:beforeAutospacing="0" w:afterAutospacing="0" w:line="400" w:lineRule="exact"/>
        <w:ind w:firstLine="422" w:firstLineChars="200"/>
        <w:rPr>
          <w:b/>
          <w:bCs/>
          <w:sz w:val="21"/>
          <w:szCs w:val="21"/>
        </w:rPr>
      </w:pPr>
      <w:r>
        <w:rPr>
          <w:rFonts w:hint="eastAsia" w:ascii="宋体" w:hAnsi="宋体"/>
          <w:b/>
          <w:bCs/>
          <w:sz w:val="21"/>
          <w:szCs w:val="21"/>
        </w:rPr>
        <w:t>四、本公司已充分知悉政府采购违法、违规行为的法律后果。</w:t>
      </w:r>
    </w:p>
    <w:p>
      <w:pPr>
        <w:pStyle w:val="38"/>
        <w:autoSpaceDE w:val="0"/>
        <w:autoSpaceDN w:val="0"/>
        <w:spacing w:beforeAutospacing="0" w:afterAutospacing="0" w:line="400" w:lineRule="exact"/>
        <w:ind w:firstLine="404" w:firstLineChars="200"/>
        <w:rPr>
          <w:rFonts w:ascii="宋体" w:hAnsi="宋体"/>
          <w:b/>
          <w:bCs/>
          <w:spacing w:val="-4"/>
          <w:sz w:val="21"/>
          <w:szCs w:val="21"/>
        </w:rPr>
      </w:pPr>
      <w:r>
        <w:rPr>
          <w:rFonts w:hint="eastAsia" w:ascii="宋体" w:hAnsi="宋体"/>
          <w:spacing w:val="-4"/>
          <w:sz w:val="21"/>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r>
        <w:rPr>
          <w:rFonts w:hint="eastAsia" w:ascii="宋体" w:hAnsi="宋体"/>
          <w:b/>
          <w:bCs/>
          <w:spacing w:val="-4"/>
          <w:sz w:val="21"/>
          <w:szCs w:val="21"/>
        </w:rPr>
        <w:t>以下文字请投标供应商抄写并确认：“本公司已仔细阅读《政府采购违法行为风险知悉确认书》，充分知悉违法行为的法律后果，并承诺将严谨、诚信、依法依规参与政府采购活动”。</w:t>
      </w:r>
    </w:p>
    <w:tbl>
      <w:tblPr>
        <w:tblStyle w:val="44"/>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pStyle w:val="38"/>
              <w:autoSpaceDE w:val="0"/>
              <w:autoSpaceDN w:val="0"/>
              <w:spacing w:beforeAutospacing="0" w:afterAutospacing="0" w:line="400" w:lineRule="exact"/>
              <w:rPr>
                <w:rFonts w:ascii="宋体" w:hAnsi="宋体"/>
                <w:spacing w:val="-4"/>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pStyle w:val="38"/>
              <w:autoSpaceDE w:val="0"/>
              <w:autoSpaceDN w:val="0"/>
              <w:spacing w:beforeAutospacing="0" w:afterAutospacing="0" w:line="400" w:lineRule="exact"/>
              <w:rPr>
                <w:rFonts w:ascii="宋体" w:hAnsi="宋体"/>
                <w:spacing w:val="-4"/>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pStyle w:val="38"/>
              <w:autoSpaceDE w:val="0"/>
              <w:autoSpaceDN w:val="0"/>
              <w:spacing w:beforeAutospacing="0" w:afterAutospacing="0" w:line="400" w:lineRule="exact"/>
              <w:rPr>
                <w:rFonts w:ascii="宋体" w:hAnsi="宋体"/>
                <w:spacing w:val="-4"/>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pStyle w:val="38"/>
              <w:autoSpaceDE w:val="0"/>
              <w:autoSpaceDN w:val="0"/>
              <w:spacing w:beforeAutospacing="0" w:afterAutospacing="0" w:line="400" w:lineRule="exact"/>
              <w:rPr>
                <w:rFonts w:ascii="宋体" w:hAnsi="宋体"/>
                <w:spacing w:val="-4"/>
                <w:sz w:val="21"/>
                <w:szCs w:val="21"/>
              </w:rPr>
            </w:pPr>
          </w:p>
        </w:tc>
      </w:tr>
    </w:tbl>
    <w:p>
      <w:pPr>
        <w:pStyle w:val="38"/>
        <w:autoSpaceDE w:val="0"/>
        <w:autoSpaceDN w:val="0"/>
        <w:spacing w:beforeAutospacing="0" w:afterAutospacing="0" w:line="400" w:lineRule="exact"/>
        <w:ind w:firstLine="406" w:firstLineChars="200"/>
        <w:rPr>
          <w:rFonts w:ascii="宋体" w:hAnsi="宋体"/>
          <w:b/>
          <w:bCs/>
          <w:color w:val="FF0000"/>
          <w:spacing w:val="-4"/>
          <w:sz w:val="21"/>
          <w:szCs w:val="21"/>
        </w:rPr>
      </w:pPr>
      <w:r>
        <w:rPr>
          <w:rFonts w:hint="eastAsia" w:ascii="宋体" w:hAnsi="宋体"/>
          <w:b/>
          <w:bCs/>
          <w:color w:val="FF0000"/>
          <w:spacing w:val="-4"/>
          <w:sz w:val="21"/>
          <w:szCs w:val="21"/>
        </w:rPr>
        <w:t>注：1.政府采购违法行为风险知悉确认书不作为资格性审查及符合性审查条件。</w:t>
      </w:r>
    </w:p>
    <w:p>
      <w:pPr>
        <w:pStyle w:val="38"/>
        <w:autoSpaceDE w:val="0"/>
        <w:autoSpaceDN w:val="0"/>
        <w:spacing w:beforeAutospacing="0" w:afterAutospacing="0" w:line="400" w:lineRule="exact"/>
        <w:ind w:firstLine="406" w:firstLineChars="200"/>
        <w:rPr>
          <w:rFonts w:ascii="宋体" w:hAnsi="宋体"/>
          <w:color w:val="FF0000"/>
          <w:spacing w:val="-4"/>
          <w:sz w:val="21"/>
          <w:szCs w:val="21"/>
        </w:rPr>
      </w:pPr>
      <w:r>
        <w:rPr>
          <w:rFonts w:hint="eastAsia" w:ascii="宋体" w:hAnsi="宋体"/>
          <w:b/>
          <w:bCs/>
          <w:color w:val="FF0000"/>
          <w:spacing w:val="-4"/>
          <w:sz w:val="21"/>
          <w:szCs w:val="21"/>
        </w:rPr>
        <w:t>2.投标供应商负责人或投标授权代表签字并加盖单位公章后，扫描上传至投标文件一并提交。</w:t>
      </w:r>
    </w:p>
    <w:p>
      <w:pPr>
        <w:pStyle w:val="38"/>
        <w:wordWrap w:val="0"/>
        <w:autoSpaceDE w:val="0"/>
        <w:autoSpaceDN w:val="0"/>
        <w:spacing w:beforeAutospacing="0" w:afterAutospacing="0" w:line="400" w:lineRule="exact"/>
        <w:ind w:firstLine="404" w:firstLineChars="200"/>
        <w:jc w:val="right"/>
        <w:rPr>
          <w:rFonts w:ascii="宋体" w:hAnsi="宋体"/>
          <w:spacing w:val="-4"/>
          <w:sz w:val="21"/>
          <w:szCs w:val="21"/>
        </w:rPr>
      </w:pPr>
      <w:r>
        <w:rPr>
          <w:rFonts w:hint="eastAsia" w:ascii="宋体" w:hAnsi="宋体"/>
          <w:spacing w:val="-4"/>
          <w:sz w:val="21"/>
          <w:szCs w:val="21"/>
        </w:rPr>
        <w:t xml:space="preserve">负责人/投标授权代表签名：     </w:t>
      </w:r>
    </w:p>
    <w:p>
      <w:pPr>
        <w:pStyle w:val="38"/>
        <w:wordWrap w:val="0"/>
        <w:autoSpaceDE w:val="0"/>
        <w:autoSpaceDN w:val="0"/>
        <w:spacing w:beforeAutospacing="0" w:afterAutospacing="0" w:line="400" w:lineRule="exact"/>
        <w:ind w:firstLine="404" w:firstLineChars="200"/>
        <w:jc w:val="right"/>
        <w:rPr>
          <w:rFonts w:ascii="宋体" w:hAnsi="宋体"/>
          <w:spacing w:val="-4"/>
          <w:sz w:val="21"/>
          <w:szCs w:val="21"/>
        </w:rPr>
      </w:pPr>
      <w:r>
        <w:rPr>
          <w:rFonts w:hint="eastAsia" w:ascii="宋体" w:hAnsi="宋体"/>
          <w:spacing w:val="-4"/>
          <w:sz w:val="21"/>
          <w:szCs w:val="21"/>
        </w:rPr>
        <w:t xml:space="preserve">知悉人（公章）：     </w:t>
      </w:r>
    </w:p>
    <w:p>
      <w:pPr>
        <w:pStyle w:val="38"/>
        <w:wordWrap w:val="0"/>
        <w:autoSpaceDE w:val="0"/>
        <w:autoSpaceDN w:val="0"/>
        <w:spacing w:beforeAutospacing="0" w:afterAutospacing="0" w:line="400" w:lineRule="exact"/>
        <w:ind w:firstLine="404" w:firstLineChars="200"/>
        <w:jc w:val="right"/>
      </w:pPr>
      <w:r>
        <w:rPr>
          <w:rFonts w:hint="eastAsia" w:ascii="宋体" w:hAnsi="宋体"/>
          <w:spacing w:val="-4"/>
          <w:sz w:val="21"/>
          <w:szCs w:val="21"/>
        </w:rPr>
        <w:t xml:space="preserve">日期：     </w:t>
      </w:r>
    </w:p>
    <w:p>
      <w:pPr>
        <w:pStyle w:val="18"/>
      </w:pPr>
    </w:p>
    <w:p>
      <w:pPr>
        <w:rPr>
          <w:rFonts w:ascii="黑体" w:hAnsi="宋体" w:eastAsia="黑体"/>
          <w:sz w:val="24"/>
          <w:szCs w:val="20"/>
        </w:rPr>
      </w:pPr>
      <w:r>
        <w:rPr>
          <w:rFonts w:hint="eastAsia" w:ascii="黑体" w:hAnsi="宋体" w:eastAsia="黑体"/>
          <w:sz w:val="24"/>
          <w:szCs w:val="20"/>
        </w:rPr>
        <w:t>（2）投标人认为需要加以说明的其他内容</w:t>
      </w:r>
    </w:p>
    <w:p>
      <w:pPr>
        <w:rPr>
          <w:b/>
          <w:sz w:val="22"/>
        </w:rPr>
      </w:pPr>
    </w:p>
    <w:p>
      <w:pPr>
        <w:rPr>
          <w:b/>
          <w:sz w:val="22"/>
        </w:rPr>
      </w:pPr>
      <w:r>
        <w:rPr>
          <w:rFonts w:hint="eastAsia"/>
          <w:b/>
          <w:sz w:val="22"/>
        </w:rPr>
        <w:br w:type="page"/>
      </w:r>
    </w:p>
    <w:p>
      <w:pPr>
        <w:pStyle w:val="5"/>
      </w:pPr>
      <w:r>
        <w:rPr>
          <w:rFonts w:hint="eastAsia"/>
        </w:rPr>
        <w:t>第五章  合同条款及格式</w:t>
      </w:r>
    </w:p>
    <w:p>
      <w:pPr>
        <w:ind w:firstLine="411" w:firstLineChars="196"/>
      </w:pPr>
    </w:p>
    <w:p>
      <w:pPr>
        <w:jc w:val="center"/>
      </w:pPr>
      <w:bookmarkStart w:id="76" w:name="_Hlk72574405"/>
      <w:bookmarkStart w:id="77" w:name="_Hlk72260917"/>
      <w:r>
        <w:rPr>
          <w:rFonts w:hint="eastAsia"/>
          <w:b/>
          <w:sz w:val="24"/>
        </w:rPr>
        <w:t>（仅供参考，具体以项目需求及采购结果为准）</w:t>
      </w:r>
      <w:bookmarkEnd w:id="76"/>
    </w:p>
    <w:p>
      <w:pPr>
        <w:rPr>
          <w:rFonts w:ascii="宋体" w:hAnsi="宋体"/>
          <w:b/>
          <w:bCs/>
          <w:szCs w:val="21"/>
        </w:rPr>
      </w:pPr>
      <w:r>
        <w:rPr>
          <w:rFonts w:hint="eastAsia" w:ascii="宋体" w:hAnsi="宋体"/>
          <w:b/>
          <w:bCs/>
          <w:szCs w:val="21"/>
        </w:rPr>
        <w:t>甲方：</w:t>
      </w:r>
    </w:p>
    <w:p>
      <w:pPr>
        <w:rPr>
          <w:rFonts w:ascii="宋体" w:hAnsi="宋体"/>
          <w:szCs w:val="21"/>
        </w:rPr>
      </w:pPr>
      <w:bookmarkStart w:id="78" w:name="_Hlk75014453"/>
      <w:r>
        <w:rPr>
          <w:rFonts w:hint="eastAsia" w:ascii="宋体" w:hAnsi="宋体"/>
          <w:szCs w:val="21"/>
        </w:rPr>
        <w:t>地址：</w:t>
      </w:r>
    </w:p>
    <w:p>
      <w:pPr>
        <w:rPr>
          <w:rFonts w:ascii="宋体" w:hAnsi="宋体"/>
          <w:szCs w:val="21"/>
        </w:rPr>
      </w:pPr>
      <w:r>
        <w:rPr>
          <w:rFonts w:hint="eastAsia" w:ascii="宋体" w:hAnsi="宋体"/>
          <w:szCs w:val="21"/>
        </w:rPr>
        <w:t>联系人：</w:t>
      </w:r>
    </w:p>
    <w:p>
      <w:pPr>
        <w:rPr>
          <w:rFonts w:ascii="宋体" w:hAnsi="宋体"/>
          <w:b/>
          <w:bCs/>
          <w:szCs w:val="21"/>
        </w:rPr>
      </w:pPr>
      <w:r>
        <w:rPr>
          <w:rFonts w:hint="eastAsia" w:ascii="宋体" w:hAnsi="宋体"/>
          <w:szCs w:val="21"/>
        </w:rPr>
        <w:t>联系电话：</w:t>
      </w:r>
      <w:bookmarkEnd w:id="78"/>
    </w:p>
    <w:p>
      <w:pPr>
        <w:rPr>
          <w:rFonts w:ascii="宋体" w:hAnsi="宋体"/>
          <w:b/>
          <w:bCs/>
          <w:szCs w:val="21"/>
        </w:rPr>
      </w:pPr>
    </w:p>
    <w:p>
      <w:pPr>
        <w:rPr>
          <w:rFonts w:ascii="宋体" w:hAnsi="宋体"/>
          <w:b/>
          <w:bCs/>
          <w:szCs w:val="21"/>
        </w:rPr>
      </w:pPr>
      <w:r>
        <w:rPr>
          <w:rFonts w:hint="eastAsia" w:ascii="宋体" w:hAnsi="宋体"/>
          <w:b/>
          <w:bCs/>
          <w:szCs w:val="21"/>
        </w:rPr>
        <w:t>乙方：</w:t>
      </w:r>
      <w:bookmarkEnd w:id="77"/>
    </w:p>
    <w:p>
      <w:pPr>
        <w:rPr>
          <w:rFonts w:ascii="宋体" w:hAnsi="宋体"/>
          <w:szCs w:val="21"/>
        </w:rPr>
      </w:pPr>
      <w:r>
        <w:rPr>
          <w:rFonts w:hint="eastAsia" w:ascii="宋体" w:hAnsi="宋体"/>
          <w:szCs w:val="21"/>
        </w:rPr>
        <w:t>地址：</w:t>
      </w:r>
    </w:p>
    <w:p>
      <w:pPr>
        <w:rPr>
          <w:rFonts w:ascii="宋体" w:hAnsi="宋体"/>
          <w:szCs w:val="21"/>
        </w:rPr>
      </w:pPr>
      <w:r>
        <w:rPr>
          <w:rFonts w:hint="eastAsia" w:ascii="宋体" w:hAnsi="宋体"/>
          <w:szCs w:val="21"/>
        </w:rPr>
        <w:t>联系人：</w:t>
      </w:r>
    </w:p>
    <w:p>
      <w:pPr>
        <w:rPr>
          <w:rFonts w:ascii="宋体" w:hAnsi="宋体"/>
          <w:szCs w:val="21"/>
        </w:rPr>
      </w:pPr>
      <w:r>
        <w:rPr>
          <w:rFonts w:hint="eastAsia" w:ascii="宋体" w:hAnsi="宋体"/>
          <w:szCs w:val="21"/>
        </w:rPr>
        <w:t>联系电话：</w:t>
      </w:r>
    </w:p>
    <w:p>
      <w:pPr>
        <w:rPr>
          <w:rFonts w:ascii="宋体" w:hAnsi="宋体"/>
          <w:szCs w:val="21"/>
        </w:rPr>
      </w:pPr>
    </w:p>
    <w:p>
      <w:pPr>
        <w:spacing w:line="360" w:lineRule="auto"/>
        <w:ind w:firstLine="560"/>
        <w:jc w:val="left"/>
        <w:rPr>
          <w:szCs w:val="21"/>
        </w:rPr>
      </w:pPr>
      <w:bookmarkStart w:id="79" w:name="_Hlk72574434"/>
      <w:r>
        <w:rPr>
          <w:rFonts w:hint="eastAsia"/>
          <w:szCs w:val="21"/>
        </w:rPr>
        <w:t>根据深圳公共资源交易中心（深圳交易集团有限公司政府采购业务分公司）号项目结果，</w:t>
      </w:r>
      <w:r>
        <w:rPr>
          <w:rFonts w:hint="eastAsia" w:ascii="宋体" w:hAnsi="宋体"/>
          <w:szCs w:val="21"/>
        </w:rPr>
        <w:t>*</w:t>
      </w:r>
      <w:r>
        <w:rPr>
          <w:rFonts w:ascii="宋体" w:hAnsi="宋体"/>
          <w:szCs w:val="21"/>
        </w:rPr>
        <w:t>**</w:t>
      </w:r>
      <w:r>
        <w:rPr>
          <w:rFonts w:hint="eastAsia" w:ascii="宋体" w:hAnsi="宋体"/>
          <w:szCs w:val="21"/>
        </w:rPr>
        <w:t>单位为中标人</w:t>
      </w:r>
      <w:r>
        <w:rPr>
          <w:rFonts w:hint="eastAsia"/>
          <w:szCs w:val="21"/>
        </w:rPr>
        <w:t>。</w:t>
      </w:r>
      <w:bookmarkEnd w:id="79"/>
      <w:r>
        <w:rPr>
          <w:rFonts w:hint="eastAsia"/>
          <w:szCs w:val="21"/>
        </w:rPr>
        <w:t>按照《中华人民共和国民法典》（第三编 合同）和《深圳经济特区政府采购条例》，经深圳市（以下简称甲方）和单位（以下简称乙方）协商，达成以下合同条款：</w:t>
      </w:r>
    </w:p>
    <w:p>
      <w:pPr>
        <w:spacing w:line="360" w:lineRule="auto"/>
        <w:ind w:firstLine="560"/>
        <w:jc w:val="left"/>
        <w:outlineLvl w:val="0"/>
        <w:rPr>
          <w:b/>
          <w:szCs w:val="21"/>
        </w:rPr>
      </w:pPr>
      <w:r>
        <w:rPr>
          <w:rFonts w:hint="eastAsia"/>
          <w:b/>
          <w:szCs w:val="21"/>
        </w:rPr>
        <w:t>第一条  合同标的</w:t>
      </w:r>
    </w:p>
    <w:p>
      <w:pPr>
        <w:spacing w:line="360" w:lineRule="auto"/>
        <w:ind w:firstLine="560"/>
        <w:jc w:val="left"/>
        <w:rPr>
          <w:szCs w:val="21"/>
        </w:rPr>
      </w:pPr>
      <w:r>
        <w:rPr>
          <w:rFonts w:hint="eastAsia"/>
          <w:szCs w:val="21"/>
        </w:rPr>
        <w:t>乙方根据甲方需求提供下列货物：</w:t>
      </w:r>
    </w:p>
    <w:p>
      <w:pPr>
        <w:spacing w:line="360" w:lineRule="auto"/>
        <w:ind w:firstLine="560"/>
        <w:jc w:val="left"/>
        <w:rPr>
          <w:szCs w:val="21"/>
        </w:rPr>
      </w:pPr>
      <w:r>
        <w:rPr>
          <w:rFonts w:hint="eastAsia"/>
          <w:szCs w:val="21"/>
        </w:rPr>
        <w:t>货物名称、规格及数量详见。</w:t>
      </w:r>
    </w:p>
    <w:p>
      <w:pPr>
        <w:spacing w:line="360" w:lineRule="auto"/>
        <w:ind w:firstLine="560"/>
        <w:jc w:val="left"/>
        <w:outlineLvl w:val="0"/>
        <w:rPr>
          <w:b/>
          <w:szCs w:val="21"/>
        </w:rPr>
      </w:pPr>
      <w:r>
        <w:rPr>
          <w:rFonts w:hint="eastAsia"/>
          <w:b/>
          <w:szCs w:val="21"/>
        </w:rPr>
        <w:t>第二条  合同价款</w:t>
      </w:r>
    </w:p>
    <w:p>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pPr>
        <w:numPr>
          <w:ilvl w:val="0"/>
          <w:numId w:val="8"/>
        </w:numPr>
        <w:spacing w:line="360" w:lineRule="auto"/>
        <w:ind w:firstLine="560"/>
        <w:jc w:val="left"/>
        <w:outlineLvl w:val="0"/>
        <w:rPr>
          <w:b/>
          <w:szCs w:val="21"/>
        </w:rPr>
      </w:pPr>
      <w:r>
        <w:rPr>
          <w:rFonts w:hint="eastAsia"/>
          <w:b/>
          <w:szCs w:val="21"/>
        </w:rPr>
        <w:t>履行期限</w:t>
      </w:r>
    </w:p>
    <w:p>
      <w:pPr>
        <w:spacing w:line="360" w:lineRule="auto"/>
        <w:ind w:firstLine="560"/>
        <w:jc w:val="left"/>
        <w:rPr>
          <w:b/>
          <w:szCs w:val="21"/>
        </w:rPr>
      </w:pPr>
      <w:r>
        <w:rPr>
          <w:rFonts w:hint="eastAsia"/>
          <w:bCs/>
          <w:szCs w:val="21"/>
        </w:rPr>
        <w:t>乙方应于本合同签订之日其日内将符合要求的产品向甲方交付（含安装调试），但乙方交付前应向书面通知甲方并征得甲方同意。</w:t>
      </w:r>
    </w:p>
    <w:p>
      <w:pPr>
        <w:numPr>
          <w:ilvl w:val="0"/>
          <w:numId w:val="8"/>
        </w:numPr>
        <w:spacing w:line="360" w:lineRule="auto"/>
        <w:ind w:firstLine="560"/>
        <w:jc w:val="left"/>
        <w:outlineLvl w:val="0"/>
        <w:rPr>
          <w:b/>
          <w:szCs w:val="21"/>
        </w:rPr>
      </w:pPr>
      <w:r>
        <w:rPr>
          <w:rFonts w:hint="eastAsia"/>
          <w:b/>
          <w:szCs w:val="21"/>
        </w:rPr>
        <w:t>权利保证</w:t>
      </w:r>
    </w:p>
    <w:p>
      <w:pPr>
        <w:spacing w:line="360" w:lineRule="auto"/>
        <w:ind w:firstLine="560"/>
        <w:jc w:val="left"/>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560"/>
        <w:jc w:val="left"/>
        <w:outlineLvl w:val="0"/>
        <w:rPr>
          <w:b/>
          <w:szCs w:val="21"/>
        </w:rPr>
      </w:pPr>
      <w:r>
        <w:rPr>
          <w:rFonts w:hint="eastAsia"/>
          <w:b/>
          <w:szCs w:val="21"/>
        </w:rPr>
        <w:t>第五条  质量保证</w:t>
      </w:r>
    </w:p>
    <w:p>
      <w:pPr>
        <w:spacing w:line="360" w:lineRule="auto"/>
        <w:ind w:firstLine="560"/>
        <w:jc w:val="left"/>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spacing w:line="360" w:lineRule="auto"/>
        <w:ind w:firstLine="560"/>
        <w:jc w:val="left"/>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560"/>
        <w:jc w:val="left"/>
        <w:rPr>
          <w:rFonts w:ascii="宋体" w:hAnsi="宋体"/>
          <w:szCs w:val="21"/>
        </w:rPr>
      </w:pPr>
      <w:r>
        <w:rPr>
          <w:rFonts w:hint="eastAsia" w:ascii="宋体" w:hAnsi="宋体"/>
          <w:szCs w:val="21"/>
        </w:rPr>
        <w:t>3、乙方保证交货时一并提供货物的质量合格凭证或文件。</w:t>
      </w:r>
    </w:p>
    <w:p>
      <w:pPr>
        <w:spacing w:line="360" w:lineRule="auto"/>
        <w:ind w:firstLine="560"/>
        <w:jc w:val="left"/>
        <w:rPr>
          <w:b/>
          <w:szCs w:val="21"/>
        </w:rPr>
      </w:pPr>
      <w:r>
        <w:rPr>
          <w:rFonts w:hint="eastAsia"/>
          <w:b/>
          <w:szCs w:val="21"/>
        </w:rPr>
        <w:t>第六条  交货和验收</w:t>
      </w:r>
    </w:p>
    <w:p>
      <w:pPr>
        <w:spacing w:line="360" w:lineRule="auto"/>
        <w:ind w:firstLine="560"/>
        <w:jc w:val="left"/>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spacing w:line="360" w:lineRule="auto"/>
        <w:ind w:firstLine="560"/>
        <w:jc w:val="left"/>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560"/>
        <w:jc w:val="left"/>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560"/>
        <w:jc w:val="left"/>
        <w:rPr>
          <w:rFonts w:ascii="宋体" w:hAnsi="宋体"/>
          <w:szCs w:val="21"/>
        </w:rPr>
      </w:pPr>
      <w:r>
        <w:rPr>
          <w:rFonts w:hint="eastAsia" w:ascii="宋体" w:hAnsi="宋体"/>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spacing w:line="360" w:lineRule="auto"/>
        <w:ind w:firstLine="560"/>
        <w:jc w:val="left"/>
        <w:rPr>
          <w:rFonts w:ascii="宋体" w:hAnsi="宋体"/>
          <w:szCs w:val="21"/>
        </w:rPr>
      </w:pPr>
      <w:r>
        <w:rPr>
          <w:rFonts w:hint="eastAsia" w:ascii="宋体" w:hAnsi="宋体"/>
          <w:szCs w:val="21"/>
        </w:rPr>
        <w:t>5、货物的所有权和灭失的风险自乙方将货物交付给甲方时转移。</w:t>
      </w:r>
    </w:p>
    <w:p>
      <w:pPr>
        <w:spacing w:line="360" w:lineRule="auto"/>
        <w:ind w:firstLine="560"/>
        <w:jc w:val="left"/>
        <w:outlineLvl w:val="0"/>
        <w:rPr>
          <w:b/>
          <w:szCs w:val="21"/>
        </w:rPr>
      </w:pPr>
      <w:r>
        <w:rPr>
          <w:rFonts w:hint="eastAsia"/>
          <w:b/>
          <w:szCs w:val="21"/>
        </w:rPr>
        <w:t>第七条  保修及其他服务</w:t>
      </w:r>
    </w:p>
    <w:p>
      <w:pPr>
        <w:spacing w:line="360" w:lineRule="auto"/>
        <w:ind w:firstLine="560"/>
        <w:jc w:val="left"/>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spacing w:line="360" w:lineRule="auto"/>
        <w:ind w:firstLine="560"/>
        <w:jc w:val="left"/>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line="360" w:lineRule="auto"/>
        <w:ind w:firstLine="560"/>
        <w:jc w:val="left"/>
        <w:rPr>
          <w:rFonts w:ascii="宋体" w:hAnsi="宋体"/>
          <w:szCs w:val="21"/>
        </w:rPr>
      </w:pPr>
      <w:r>
        <w:rPr>
          <w:rFonts w:hint="eastAsia" w:ascii="宋体" w:hAnsi="宋体"/>
          <w:szCs w:val="21"/>
        </w:rPr>
        <w:t>3、在甲方提出维修要求后，乙方应于  小时内响应，  小时维修到位，并在  小时内消除故障。消耗品和零配件供应及时，特殊情况下可提供备用机。</w:t>
      </w:r>
    </w:p>
    <w:p>
      <w:pPr>
        <w:spacing w:line="360" w:lineRule="auto"/>
        <w:ind w:firstLine="560"/>
        <w:jc w:val="left"/>
        <w:outlineLvl w:val="0"/>
        <w:rPr>
          <w:b/>
          <w:szCs w:val="21"/>
        </w:rPr>
      </w:pPr>
      <w:r>
        <w:rPr>
          <w:rFonts w:hint="eastAsia"/>
          <w:b/>
          <w:szCs w:val="21"/>
        </w:rPr>
        <w:t>第八条 保密条款</w:t>
      </w:r>
    </w:p>
    <w:p>
      <w:pPr>
        <w:spacing w:line="360" w:lineRule="auto"/>
        <w:ind w:firstLine="420" w:firstLineChars="200"/>
        <w:jc w:val="left"/>
        <w:rPr>
          <w:bCs/>
          <w:szCs w:val="21"/>
        </w:rPr>
      </w:pPr>
      <w:r>
        <w:rPr>
          <w:bCs/>
          <w:szCs w:val="21"/>
        </w:rPr>
        <w:t>1</w:t>
      </w:r>
      <w:r>
        <w:rPr>
          <w:rFonts w:hint="eastAsia"/>
          <w:bCs/>
          <w:szCs w:val="21"/>
        </w:rPr>
        <w:t>、乙方对在本合同履行中获取或者知悉甲方提供的资料、信息负有保密义务。</w:t>
      </w:r>
    </w:p>
    <w:p>
      <w:pPr>
        <w:spacing w:line="360" w:lineRule="auto"/>
        <w:ind w:firstLine="560"/>
        <w:jc w:val="left"/>
        <w:rPr>
          <w:bCs/>
          <w:szCs w:val="21"/>
        </w:rPr>
      </w:pPr>
      <w:r>
        <w:rPr>
          <w:bCs/>
          <w:szCs w:val="21"/>
        </w:rPr>
        <w:t>2</w:t>
      </w:r>
      <w:r>
        <w:rPr>
          <w:rFonts w:hint="eastAsia"/>
          <w:bCs/>
          <w:szCs w:val="21"/>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spacing w:line="360" w:lineRule="auto"/>
        <w:ind w:firstLine="560"/>
        <w:jc w:val="left"/>
        <w:rPr>
          <w:b/>
          <w:szCs w:val="21"/>
        </w:rPr>
      </w:pPr>
      <w:r>
        <w:rPr>
          <w:bCs/>
          <w:szCs w:val="21"/>
        </w:rPr>
        <w:t>3</w:t>
      </w:r>
      <w:r>
        <w:rPr>
          <w:rFonts w:hint="eastAsia"/>
          <w:bCs/>
          <w:szCs w:val="21"/>
        </w:rPr>
        <w:t>、保密期限自本协议签订生效之日起至保密信息被依法公开披露或成为公开信息之日止。合同中止、终止或者解除不视为免除保密义务，乙方仍应当承担保密义务。</w:t>
      </w:r>
    </w:p>
    <w:p>
      <w:pPr>
        <w:spacing w:line="360" w:lineRule="auto"/>
        <w:ind w:firstLine="560"/>
        <w:jc w:val="left"/>
        <w:outlineLvl w:val="0"/>
        <w:rPr>
          <w:b/>
          <w:szCs w:val="21"/>
        </w:rPr>
      </w:pPr>
      <w:r>
        <w:rPr>
          <w:rFonts w:hint="eastAsia"/>
          <w:b/>
          <w:szCs w:val="21"/>
        </w:rPr>
        <w:t>第九条  履约保证金</w:t>
      </w:r>
    </w:p>
    <w:p>
      <w:pPr>
        <w:spacing w:line="360" w:lineRule="auto"/>
        <w:ind w:firstLine="560"/>
        <w:jc w:val="left"/>
        <w:rPr>
          <w:rFonts w:ascii="宋体" w:hAnsi="宋体"/>
          <w:szCs w:val="21"/>
        </w:rPr>
      </w:pPr>
      <w:r>
        <w:rPr>
          <w:rFonts w:hint="eastAsia" w:ascii="宋体" w:hAnsi="宋体"/>
          <w:szCs w:val="21"/>
        </w:rPr>
        <w:t>1、乙方应在签订本合同之日，向甲方或甲方指定的机构提交履约保证金_________元。</w:t>
      </w:r>
    </w:p>
    <w:p>
      <w:pPr>
        <w:spacing w:line="360" w:lineRule="auto"/>
        <w:ind w:firstLine="560"/>
        <w:jc w:val="left"/>
        <w:rPr>
          <w:rFonts w:ascii="宋体" w:hAnsi="宋体"/>
          <w:szCs w:val="21"/>
        </w:rPr>
      </w:pPr>
      <w:r>
        <w:rPr>
          <w:rFonts w:hint="eastAsia" w:ascii="宋体" w:hAnsi="宋体"/>
          <w:szCs w:val="21"/>
        </w:rPr>
        <w:t>2、如乙方未能履行合同规定的义务，甲方有权从履约保证金中取得补偿。</w:t>
      </w:r>
    </w:p>
    <w:p>
      <w:pPr>
        <w:spacing w:line="360" w:lineRule="auto"/>
        <w:ind w:firstLine="560"/>
        <w:jc w:val="left"/>
        <w:rPr>
          <w:rFonts w:ascii="宋体" w:hAnsi="宋体"/>
          <w:szCs w:val="21"/>
        </w:rPr>
      </w:pPr>
      <w:r>
        <w:rPr>
          <w:rFonts w:hint="eastAsia" w:ascii="宋体" w:hAnsi="宋体"/>
          <w:szCs w:val="21"/>
        </w:rPr>
        <w:t>3、甲方在乙方履行完毕本合同项下全部义务后______天内无息退还乙方。</w:t>
      </w:r>
    </w:p>
    <w:p>
      <w:pPr>
        <w:numPr>
          <w:ilvl w:val="255"/>
          <w:numId w:val="0"/>
        </w:numPr>
        <w:spacing w:line="360" w:lineRule="auto"/>
        <w:ind w:firstLine="422" w:firstLineChars="200"/>
        <w:jc w:val="left"/>
        <w:outlineLvl w:val="0"/>
        <w:rPr>
          <w:b/>
          <w:szCs w:val="21"/>
        </w:rPr>
      </w:pPr>
      <w:r>
        <w:rPr>
          <w:rFonts w:hint="eastAsia"/>
          <w:b/>
          <w:szCs w:val="21"/>
        </w:rPr>
        <w:t>第十条  货款支付</w:t>
      </w:r>
    </w:p>
    <w:p>
      <w:pPr>
        <w:spacing w:line="360" w:lineRule="auto"/>
        <w:jc w:val="left"/>
        <w:rPr>
          <w:b/>
          <w:szCs w:val="21"/>
          <w:u w:val="single"/>
        </w:rPr>
      </w:pPr>
      <w:r>
        <w:rPr>
          <w:rFonts w:hint="eastAsia"/>
          <w:b/>
          <w:szCs w:val="21"/>
          <w:u w:val="single"/>
        </w:rPr>
        <w:t>（详见商务要求）</w:t>
      </w:r>
    </w:p>
    <w:p>
      <w:pPr>
        <w:spacing w:line="360" w:lineRule="auto"/>
        <w:ind w:firstLine="560"/>
        <w:jc w:val="left"/>
        <w:rPr>
          <w:szCs w:val="21"/>
        </w:rPr>
      </w:pPr>
    </w:p>
    <w:p>
      <w:pPr>
        <w:spacing w:line="360" w:lineRule="auto"/>
        <w:ind w:firstLine="422" w:firstLineChars="200"/>
        <w:jc w:val="left"/>
        <w:outlineLvl w:val="0"/>
        <w:rPr>
          <w:b/>
          <w:szCs w:val="21"/>
        </w:rPr>
      </w:pPr>
      <w:r>
        <w:rPr>
          <w:rFonts w:hint="eastAsia"/>
          <w:b/>
          <w:szCs w:val="21"/>
        </w:rPr>
        <w:t>第十一条 违约责任</w:t>
      </w:r>
      <w:r>
        <w:rPr>
          <w:rFonts w:hint="eastAsia"/>
          <w:b/>
          <w:szCs w:val="21"/>
          <w:u w:val="single"/>
        </w:rPr>
        <w:t>（详见商务要求）</w:t>
      </w:r>
    </w:p>
    <w:p>
      <w:pPr>
        <w:spacing w:line="360" w:lineRule="auto"/>
        <w:ind w:firstLine="560"/>
        <w:jc w:val="left"/>
        <w:rPr>
          <w:rFonts w:ascii="宋体" w:hAnsi="宋体"/>
          <w:szCs w:val="21"/>
        </w:rPr>
      </w:pPr>
      <w:r>
        <w:rPr>
          <w:rFonts w:hint="eastAsia" w:ascii="宋体" w:hAnsi="宋体"/>
          <w:szCs w:val="21"/>
        </w:rPr>
        <w:t>１、甲方无正当理由拒收货物、拒付货物款的，由甲方向乙方偿付合同总价的【】%违约金。</w:t>
      </w:r>
    </w:p>
    <w:p>
      <w:pPr>
        <w:spacing w:line="360" w:lineRule="auto"/>
        <w:ind w:firstLine="560"/>
        <w:jc w:val="left"/>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spacing w:line="360" w:lineRule="auto"/>
        <w:ind w:firstLine="560"/>
        <w:jc w:val="left"/>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。如乙方逾期交货达天，甲方有权解除合同，履约保证金不予退回，同时乙方应向甲方支付合同总价【】％的违约金。</w:t>
      </w:r>
    </w:p>
    <w:p>
      <w:pPr>
        <w:spacing w:line="360" w:lineRule="auto"/>
        <w:ind w:firstLine="560"/>
        <w:jc w:val="left"/>
        <w:rPr>
          <w:rFonts w:ascii="宋体" w:hAnsi="宋体"/>
          <w:szCs w:val="21"/>
        </w:rPr>
      </w:pPr>
      <w:r>
        <w:rPr>
          <w:rFonts w:hint="eastAsia" w:ascii="宋体" w:hAnsi="宋体"/>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line="360" w:lineRule="auto"/>
        <w:ind w:firstLine="560"/>
        <w:jc w:val="left"/>
        <w:rPr>
          <w:rFonts w:ascii="宋体" w:hAnsi="宋体"/>
          <w:szCs w:val="21"/>
        </w:rPr>
      </w:pPr>
      <w:r>
        <w:rPr>
          <w:rFonts w:hint="eastAsia" w:ascii="宋体" w:hAnsi="宋体"/>
          <w:szCs w:val="21"/>
        </w:rPr>
        <w:t>6.</w:t>
      </w:r>
      <w:bookmarkStart w:id="80" w:name="_Hlk75014743"/>
      <w:r>
        <w:rPr>
          <w:rFonts w:hint="eastAsia" w:ascii="宋体" w:hAnsi="宋体"/>
          <w:szCs w:val="21"/>
        </w:rPr>
        <w:t>乙方违反本合同约定的保密义务，甲方有权要求乙方按合同总额【】%支付违约金；造成不良影响或对甲方造成损失的，甲方有权要求乙方消除影响，承担赔偿责任，并有权解除合同。</w:t>
      </w:r>
      <w:bookmarkEnd w:id="80"/>
    </w:p>
    <w:p>
      <w:pPr>
        <w:spacing w:line="360" w:lineRule="auto"/>
        <w:ind w:firstLine="560"/>
        <w:jc w:val="left"/>
        <w:rPr>
          <w:rFonts w:ascii="宋体" w:hAnsi="宋体"/>
          <w:szCs w:val="21"/>
        </w:rPr>
      </w:pPr>
      <w:r>
        <w:rPr>
          <w:rFonts w:hint="eastAsia" w:ascii="宋体" w:hAnsi="宋体"/>
          <w:szCs w:val="21"/>
        </w:rPr>
        <w:t>7、</w:t>
      </w:r>
      <w:bookmarkStart w:id="81" w:name="_Hlk75015079"/>
      <w:r>
        <w:rPr>
          <w:rFonts w:hint="eastAsia" w:ascii="宋体" w:hAnsi="宋体"/>
          <w:szCs w:val="21"/>
        </w:rPr>
        <w:t>因乙方提供的产品受到侵权指控或者引发法律纠纷，影响甲方正常使用或者导致合同目的不能实现的，甲方有权要求乙方按合同总额【】%支付违约金，并有权解除合同。</w:t>
      </w:r>
      <w:bookmarkEnd w:id="81"/>
    </w:p>
    <w:p>
      <w:pPr>
        <w:spacing w:line="360" w:lineRule="auto"/>
        <w:ind w:firstLine="560"/>
        <w:jc w:val="left"/>
        <w:rPr>
          <w:rFonts w:ascii="宋体" w:hAnsi="宋体"/>
          <w:szCs w:val="21"/>
        </w:rPr>
      </w:pPr>
      <w:r>
        <w:rPr>
          <w:rFonts w:hint="eastAsia" w:ascii="宋体" w:hAnsi="宋体"/>
          <w:szCs w:val="21"/>
        </w:rPr>
        <w:t>8、乙方未履行本合同项下的其他义务或违反其在投标文件中的相关承诺的，应按合同总价款的【】%向甲方承担违约责任。</w:t>
      </w:r>
    </w:p>
    <w:p>
      <w:pPr>
        <w:spacing w:line="360" w:lineRule="auto"/>
        <w:ind w:firstLine="560"/>
        <w:jc w:val="left"/>
        <w:rPr>
          <w:rFonts w:ascii="宋体" w:hAnsi="宋体"/>
          <w:szCs w:val="21"/>
        </w:rPr>
      </w:pPr>
      <w:r>
        <w:rPr>
          <w:rFonts w:hint="eastAsia" w:ascii="宋体" w:hAnsi="宋体"/>
          <w:szCs w:val="21"/>
        </w:rPr>
        <w:t>9、乙方在承担上述一项或多项违约责任后，仍应继续履行合同规定的义务（甲方解除合同的除外）。甲方未能及时追究乙方的任何一项违约责任并不表明甲方放弃追究乙方该项或其他违约责任。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560"/>
        <w:jc w:val="left"/>
        <w:outlineLvl w:val="0"/>
        <w:rPr>
          <w:b/>
          <w:szCs w:val="21"/>
        </w:rPr>
      </w:pPr>
      <w:r>
        <w:rPr>
          <w:rFonts w:hint="eastAsia"/>
          <w:b/>
          <w:szCs w:val="21"/>
        </w:rPr>
        <w:t>第十条    合同的变更和终止</w:t>
      </w:r>
    </w:p>
    <w:p>
      <w:pPr>
        <w:spacing w:line="360" w:lineRule="auto"/>
        <w:ind w:firstLine="560"/>
        <w:jc w:val="left"/>
        <w:rPr>
          <w:rFonts w:ascii="宋体" w:hAnsi="宋体"/>
          <w:szCs w:val="21"/>
        </w:rPr>
      </w:pPr>
      <w:r>
        <w:rPr>
          <w:rFonts w:hint="eastAsia" w:ascii="宋体" w:hAnsi="宋体"/>
          <w:szCs w:val="21"/>
        </w:rPr>
        <w:t>除</w:t>
      </w:r>
      <w:bookmarkStart w:id="82" w:name="_Hlk75015119"/>
      <w:r>
        <w:rPr>
          <w:rFonts w:hint="eastAsia" w:ascii="宋体" w:hAnsi="宋体"/>
          <w:szCs w:val="21"/>
        </w:rPr>
        <w:t>《深圳经济特区政府采购条例》第40条、</w:t>
      </w:r>
      <w:bookmarkEnd w:id="82"/>
      <w:r>
        <w:rPr>
          <w:rFonts w:hint="eastAsia" w:ascii="宋体" w:hAnsi="宋体"/>
          <w:szCs w:val="21"/>
        </w:rPr>
        <w:t>《中华人民共和国政府采购法》第50条第二款规定或者主管部门另有政策规定的情形外，本合同一经签订，甲乙双方不得擅自变更、中止或终止合同。</w:t>
      </w:r>
    </w:p>
    <w:p>
      <w:pPr>
        <w:spacing w:line="360" w:lineRule="auto"/>
        <w:ind w:firstLine="560"/>
        <w:jc w:val="left"/>
        <w:outlineLvl w:val="0"/>
        <w:rPr>
          <w:b/>
          <w:szCs w:val="21"/>
        </w:rPr>
      </w:pPr>
      <w:r>
        <w:rPr>
          <w:rFonts w:hint="eastAsia"/>
          <w:b/>
          <w:szCs w:val="21"/>
        </w:rPr>
        <w:t>第十一条   争议的解决</w:t>
      </w:r>
    </w:p>
    <w:p>
      <w:pPr>
        <w:spacing w:line="360" w:lineRule="auto"/>
        <w:ind w:firstLine="560"/>
        <w:jc w:val="left"/>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60"/>
        <w:jc w:val="left"/>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spacing w:line="360" w:lineRule="auto"/>
        <w:ind w:firstLine="560"/>
        <w:jc w:val="left"/>
        <w:outlineLvl w:val="0"/>
        <w:rPr>
          <w:b/>
          <w:szCs w:val="21"/>
        </w:rPr>
      </w:pPr>
      <w:r>
        <w:rPr>
          <w:rFonts w:hint="eastAsia"/>
          <w:b/>
          <w:szCs w:val="21"/>
        </w:rPr>
        <w:t>第十二条   合同生效及其他</w:t>
      </w:r>
    </w:p>
    <w:p>
      <w:pPr>
        <w:spacing w:line="360" w:lineRule="auto"/>
        <w:ind w:firstLine="560"/>
        <w:jc w:val="left"/>
        <w:rPr>
          <w:rFonts w:ascii="宋体" w:hAnsi="宋体"/>
          <w:szCs w:val="21"/>
        </w:rPr>
      </w:pPr>
      <w:r>
        <w:rPr>
          <w:rFonts w:hint="eastAsia" w:ascii="宋体" w:hAnsi="宋体"/>
          <w:szCs w:val="21"/>
        </w:rPr>
        <w:t>1、下列文件均为本合同的组成部分：</w:t>
      </w:r>
    </w:p>
    <w:p>
      <w:pPr>
        <w:spacing w:line="360" w:lineRule="auto"/>
        <w:ind w:firstLine="560"/>
        <w:jc w:val="left"/>
        <w:rPr>
          <w:rFonts w:ascii="宋体" w:hAnsi="宋体"/>
          <w:szCs w:val="21"/>
        </w:rPr>
      </w:pPr>
      <w:r>
        <w:rPr>
          <w:rFonts w:hint="eastAsia" w:ascii="宋体" w:hAnsi="宋体"/>
          <w:szCs w:val="21"/>
        </w:rPr>
        <w:t>（1）号招标文件、答疑及补充通知；</w:t>
      </w:r>
    </w:p>
    <w:p>
      <w:pPr>
        <w:spacing w:line="360" w:lineRule="auto"/>
        <w:ind w:firstLine="560"/>
        <w:jc w:val="left"/>
        <w:rPr>
          <w:rFonts w:ascii="宋体" w:hAnsi="宋体"/>
          <w:szCs w:val="21"/>
        </w:rPr>
      </w:pPr>
      <w:r>
        <w:rPr>
          <w:rFonts w:hint="eastAsia" w:ascii="宋体" w:hAnsi="宋体"/>
          <w:szCs w:val="21"/>
        </w:rPr>
        <w:t>（2）乙方的投标文件；</w:t>
      </w:r>
    </w:p>
    <w:p>
      <w:pPr>
        <w:spacing w:line="360" w:lineRule="auto"/>
        <w:ind w:firstLine="560"/>
        <w:jc w:val="left"/>
        <w:rPr>
          <w:rFonts w:ascii="宋体" w:hAnsi="宋体"/>
          <w:szCs w:val="21"/>
        </w:rPr>
      </w:pPr>
      <w:r>
        <w:rPr>
          <w:rFonts w:hint="eastAsia" w:ascii="宋体" w:hAnsi="宋体"/>
          <w:szCs w:val="21"/>
        </w:rPr>
        <w:t>（3）本合同执行中甲乙双方共同签署的补充与修正文件。</w:t>
      </w:r>
    </w:p>
    <w:p>
      <w:pPr>
        <w:spacing w:line="360" w:lineRule="auto"/>
        <w:ind w:firstLine="560"/>
        <w:jc w:val="left"/>
        <w:rPr>
          <w:rFonts w:ascii="宋体" w:hAnsi="宋体"/>
          <w:szCs w:val="21"/>
        </w:rPr>
      </w:pPr>
      <w:r>
        <w:rPr>
          <w:rFonts w:hint="eastAsia" w:ascii="宋体" w:hAnsi="宋体"/>
          <w:szCs w:val="21"/>
        </w:rPr>
        <w:t>2、本合同一式份，甲、乙方双方各执份，具有同等法律效力。本合同自双方法定代表人（或授权代表）签字并盖章之日起生效。</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rFonts w:ascii="宋体" w:hAnsi="宋体"/>
          <w:szCs w:val="21"/>
        </w:rPr>
      </w:pPr>
      <w:r>
        <w:rPr>
          <w:rFonts w:hint="eastAsia" w:ascii="宋体" w:hAnsi="宋体"/>
          <w:szCs w:val="21"/>
        </w:rPr>
        <w:t>甲方（采购人）：   （盖章）       乙方（供应商）：    （盖章）</w:t>
      </w:r>
    </w:p>
    <w:p>
      <w:pPr>
        <w:spacing w:line="360" w:lineRule="auto"/>
        <w:ind w:firstLine="560"/>
        <w:jc w:val="left"/>
        <w:rPr>
          <w:rFonts w:ascii="宋体" w:hAnsi="宋体"/>
          <w:szCs w:val="21"/>
        </w:rPr>
      </w:pPr>
      <w:r>
        <w:rPr>
          <w:rFonts w:hint="eastAsia" w:ascii="宋体" w:hAnsi="宋体"/>
          <w:szCs w:val="21"/>
        </w:rPr>
        <w:t xml:space="preserve">法定代表人：                     法定代表人： </w:t>
      </w:r>
    </w:p>
    <w:p>
      <w:pPr>
        <w:spacing w:line="360" w:lineRule="auto"/>
        <w:ind w:firstLine="560"/>
        <w:jc w:val="left"/>
        <w:rPr>
          <w:rFonts w:ascii="宋体" w:hAnsi="宋体"/>
          <w:szCs w:val="21"/>
        </w:rPr>
      </w:pPr>
      <w:r>
        <w:rPr>
          <w:rFonts w:hint="eastAsia" w:ascii="宋体" w:hAnsi="宋体"/>
          <w:szCs w:val="21"/>
        </w:rPr>
        <w:t>委托代理人：                     委托代理人：</w:t>
      </w:r>
    </w:p>
    <w:p>
      <w:pPr>
        <w:ind w:firstLine="525" w:firstLineChars="250"/>
        <w:rPr>
          <w:rFonts w:ascii="宋体" w:hAnsi="宋体"/>
          <w:b/>
          <w:szCs w:val="21"/>
        </w:rPr>
      </w:pPr>
      <w:r>
        <w:rPr>
          <w:rFonts w:hint="eastAsia" w:ascii="宋体" w:hAnsi="宋体"/>
          <w:szCs w:val="21"/>
        </w:rPr>
        <w:t>日期：   年     月    日         日期：   年     月    日</w:t>
      </w:r>
    </w:p>
    <w:p/>
    <w:p>
      <w:pPr>
        <w:widowControl/>
        <w:jc w:val="left"/>
        <w:rPr>
          <w:rFonts w:ascii="宋体" w:hAnsi="宋体"/>
          <w:szCs w:val="21"/>
        </w:rPr>
      </w:pPr>
      <w:r>
        <w:rPr>
          <w:rFonts w:ascii="宋体" w:hAnsi="宋体"/>
          <w:szCs w:val="21"/>
        </w:rPr>
        <w:br w:type="page"/>
      </w:r>
    </w:p>
    <w:p>
      <w:pPr>
        <w:pStyle w:val="5"/>
        <w:spacing w:before="120" w:beforeLines="50" w:after="120" w:afterLines="50"/>
        <w:ind w:left="562"/>
        <w:rPr>
          <w:sz w:val="28"/>
          <w:szCs w:val="28"/>
        </w:rPr>
      </w:pPr>
      <w:r>
        <w:rPr>
          <w:rFonts w:hint="eastAsia"/>
          <w:sz w:val="28"/>
          <w:szCs w:val="28"/>
        </w:rPr>
        <w:t>第二册  通用条款（公开招标）</w:t>
      </w:r>
    </w:p>
    <w:p>
      <w:pPr>
        <w:pStyle w:val="5"/>
        <w:numPr>
          <w:ilvl w:val="0"/>
          <w:numId w:val="9"/>
        </w:numPr>
        <w:spacing w:before="120" w:beforeLines="50" w:after="120" w:afterLines="50"/>
        <w:ind w:left="562" w:hanging="562"/>
        <w:rPr>
          <w:sz w:val="28"/>
          <w:szCs w:val="28"/>
        </w:rPr>
      </w:pPr>
      <w:bookmarkStart w:id="83" w:name="_Hlk72399513"/>
      <w:r>
        <w:rPr>
          <w:rFonts w:hint="eastAsia"/>
          <w:sz w:val="28"/>
          <w:szCs w:val="28"/>
        </w:rPr>
        <w:t>总则</w:t>
      </w:r>
    </w:p>
    <w:bookmarkEnd w:id="83"/>
    <w:p>
      <w:pPr>
        <w:outlineLvl w:val="1"/>
        <w:rPr>
          <w:rFonts w:ascii="黑体" w:hAnsi="宋体" w:eastAsia="黑体"/>
          <w:sz w:val="24"/>
        </w:rPr>
      </w:pPr>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84" w:name="_Hlk72399729"/>
      <w:r>
        <w:rPr>
          <w:rFonts w:hint="eastAsia" w:ascii="宋体" w:hAnsi="宋体"/>
          <w:szCs w:val="21"/>
        </w:rPr>
        <w:t>如有需要，政府集中采购机构可以对通用条款的内容进行补充。</w:t>
      </w:r>
      <w:bookmarkEnd w:id="84"/>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outlineLvl w:val="1"/>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outlineLvl w:val="1"/>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3.4“中标候选人”即“候选中标供应商”</w:t>
      </w:r>
    </w:p>
    <w:p>
      <w:pPr>
        <w:ind w:firstLine="411" w:firstLineChars="196"/>
        <w:rPr>
          <w:rFonts w:ascii="宋体" w:hAnsi="宋体"/>
          <w:szCs w:val="21"/>
        </w:rPr>
      </w:pPr>
      <w:r>
        <w:rPr>
          <w:rFonts w:hint="eastAsia" w:ascii="宋体" w:hAnsi="宋体"/>
          <w:szCs w:val="21"/>
        </w:rPr>
        <w:t>3.5“评审委员会”是依据《深圳经济特区政府采购条例》、《深圳经济特区政府采购条例实施细则》等有关规定组建的专门负责本次招标其评审工作的临时性机构；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3.6“日期”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3.7“合同”指由本次招标所产生的合同或合约文件；</w:t>
      </w:r>
    </w:p>
    <w:p>
      <w:pPr>
        <w:suppressAutoHyphens/>
        <w:wordWrap w:val="0"/>
        <w:ind w:firstLine="411" w:firstLineChars="196"/>
        <w:rPr>
          <w:rFonts w:ascii="宋体" w:hAnsi="宋体"/>
          <w:szCs w:val="21"/>
        </w:rPr>
      </w:pPr>
      <w:r>
        <w:rPr>
          <w:rFonts w:hint="eastAsia" w:ascii="宋体" w:hAnsi="宋体"/>
          <w:szCs w:val="21"/>
        </w:rPr>
        <w:t>3.8“电子投标文件”指利用</w:t>
      </w:r>
      <w:r>
        <w:rPr>
          <w:rFonts w:hint="eastAsia" w:ascii="宋体" w:hAnsi="宋体"/>
          <w:b/>
          <w:bCs/>
          <w:color w:val="FF0000"/>
          <w:szCs w:val="21"/>
        </w:rPr>
        <w:t>深圳公共资源交易中心（深圳交易集团有限公司政府采购业务分公司）</w:t>
      </w:r>
      <w:r>
        <w:rPr>
          <w:rFonts w:hint="eastAsia" w:ascii="宋体" w:hAnsi="宋体"/>
          <w:szCs w:val="21"/>
        </w:rPr>
        <w:t>网站提供的</w:t>
      </w:r>
      <w:r>
        <w:rPr>
          <w:rFonts w:hint="eastAsia" w:ascii="宋体" w:hAnsi="宋体"/>
        </w:rPr>
        <w:t>深圳智慧采购平台投标文件制作专用软件（以下简称：投标文件制作软件）制作并</w:t>
      </w:r>
      <w:r>
        <w:rPr>
          <w:rFonts w:hint="eastAsia" w:ascii="宋体" w:hAnsi="宋体"/>
          <w:szCs w:val="21"/>
        </w:rPr>
        <w:t>加密的投标文件,适用于网上投标；（投标文件制作软件可从</w:t>
      </w:r>
      <w:r>
        <w:rPr>
          <w:rFonts w:hint="eastAsia"/>
        </w:rPr>
        <w:t>“</w:t>
      </w:r>
      <w:r>
        <w:rPr>
          <w:rFonts w:hint="eastAsia" w:ascii="宋体" w:hAnsi="宋体"/>
        </w:rPr>
        <w:t>下载地址：</w:t>
      </w:r>
      <w:r>
        <w:rPr>
          <w:rFonts w:hint="eastAsia"/>
        </w:rPr>
        <w:t>http://zfcg.szggzy.com:8081/cgxy/013002/20210923/173e0b2c-7a4c-4246-a0c7-e0ea75d84dd6.html”</w:t>
      </w:r>
      <w:r>
        <w:rPr>
          <w:rFonts w:hint="eastAsia" w:ascii="宋体" w:hAnsi="宋体"/>
          <w:szCs w:val="21"/>
        </w:rPr>
        <w:t>下载）；</w:t>
      </w:r>
    </w:p>
    <w:p>
      <w:pPr>
        <w:ind w:firstLine="411" w:firstLineChars="196"/>
        <w:rPr>
          <w:rFonts w:ascii="宋体" w:hAnsi="宋体"/>
          <w:szCs w:val="21"/>
        </w:rPr>
      </w:pPr>
      <w:r>
        <w:rPr>
          <w:rFonts w:hint="eastAsia" w:ascii="宋体" w:hAnsi="宋体"/>
          <w:szCs w:val="21"/>
        </w:rPr>
        <w:t>3.9“网上投标”指通过</w:t>
      </w:r>
      <w:r>
        <w:rPr>
          <w:rFonts w:hint="eastAsia" w:ascii="宋体" w:hAnsi="宋体"/>
          <w:b/>
          <w:bCs/>
          <w:color w:val="FF0000"/>
          <w:szCs w:val="21"/>
        </w:rPr>
        <w:t>深圳公共资源交易中心（深圳交易集团有限公司政府采购业务分公司）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3.10招标文件中的标题或题名仅起引导作用，而不应视为对招标文件内容的理解和解释。</w:t>
      </w:r>
    </w:p>
    <w:p>
      <w:pPr>
        <w:outlineLvl w:val="1"/>
        <w:rPr>
          <w:rFonts w:ascii="黑体" w:hAnsi="宋体" w:eastAsia="黑体"/>
          <w:sz w:val="24"/>
        </w:rPr>
      </w:pPr>
      <w:r>
        <w:rPr>
          <w:rFonts w:hint="eastAsia" w:ascii="黑体" w:hAnsi="宋体" w:eastAsia="黑体"/>
          <w:sz w:val="24"/>
        </w:rPr>
        <w:t xml:space="preserve">4. </w:t>
      </w:r>
      <w:bookmarkStart w:id="85"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outlineLvl w:val="1"/>
        <w:rPr>
          <w:rFonts w:ascii="黑体" w:hAnsi="宋体" w:eastAsia="黑体"/>
          <w:sz w:val="24"/>
        </w:rPr>
      </w:pPr>
      <w:r>
        <w:rPr>
          <w:rFonts w:hint="eastAsia" w:ascii="黑体" w:hAnsi="宋体" w:eastAsia="黑体"/>
          <w:sz w:val="24"/>
        </w:rPr>
        <w:t>5．投标人参加政府采购的条件</w:t>
      </w:r>
    </w:p>
    <w:p>
      <w:pPr>
        <w:ind w:firstLine="411" w:firstLineChars="196"/>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w:t>
      </w:r>
      <w:r>
        <w:fldChar w:fldCharType="begin"/>
      </w:r>
      <w:r>
        <w:instrText xml:space="preserve"> HYPERLINK "file:///C:\\Users\\xiuziwong\\Desktop\\模板\\供应商注册及信息变更指引" </w:instrText>
      </w:r>
      <w:r>
        <w:fldChar w:fldCharType="separate"/>
      </w:r>
      <w:r>
        <w:rPr>
          <w:rStyle w:val="55"/>
          <w:rFonts w:ascii="宋体" w:hAnsi="宋体"/>
          <w:szCs w:val="21"/>
        </w:rPr>
        <w:t>供应商注册及信息变更指引</w:t>
      </w:r>
      <w:r>
        <w:rPr>
          <w:rStyle w:val="55"/>
          <w:rFonts w:ascii="宋体" w:hAnsi="宋体"/>
          <w:szCs w:val="21"/>
        </w:rPr>
        <w:fldChar w:fldCharType="end"/>
      </w:r>
      <w:r>
        <w:rPr>
          <w:rFonts w:hint="eastAsia" w:ascii="宋体" w:hAnsi="宋体"/>
          <w:szCs w:val="21"/>
        </w:rPr>
        <w:t>》详见</w:t>
      </w:r>
      <w:r>
        <w:rPr>
          <w:rFonts w:hint="eastAsia"/>
        </w:rPr>
        <w:t>http://zfcg.szggzy.com:8081/</w:t>
      </w:r>
      <w:r>
        <w:rPr>
          <w:rFonts w:hint="eastAsia" w:ascii="宋体" w:hAnsi="宋体"/>
          <w:szCs w:val="21"/>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p>
    <w:p>
      <w:pPr>
        <w:ind w:left="420" w:leftChars="200" w:firstLine="411" w:firstLineChars="196"/>
        <w:rPr>
          <w:rFonts w:ascii="宋体" w:hAnsi="宋体"/>
        </w:rPr>
      </w:pPr>
      <w:r>
        <w:rPr>
          <w:rFonts w:hint="eastAsia" w:ascii="宋体" w:hAnsi="宋体"/>
        </w:rPr>
        <w:t>1、具有独立承担民事责任的能力；</w:t>
      </w:r>
    </w:p>
    <w:p>
      <w:pPr>
        <w:ind w:left="420" w:firstLine="411" w:firstLineChars="196"/>
        <w:rPr>
          <w:rFonts w:ascii="宋体" w:hAnsi="宋体"/>
        </w:rPr>
      </w:pPr>
      <w:r>
        <w:rPr>
          <w:rFonts w:hint="eastAsia" w:ascii="宋体" w:hAnsi="宋体"/>
        </w:rPr>
        <w:t>2、有良好的商业信誉和健全的财务会计制度；</w:t>
      </w:r>
    </w:p>
    <w:p>
      <w:pPr>
        <w:ind w:left="420" w:leftChars="200" w:firstLine="411" w:firstLineChars="196"/>
        <w:rPr>
          <w:rFonts w:ascii="宋体" w:hAnsi="宋体"/>
        </w:rPr>
      </w:pPr>
      <w:r>
        <w:rPr>
          <w:rFonts w:hint="eastAsia" w:ascii="宋体" w:hAnsi="宋体"/>
        </w:rPr>
        <w:t>3、具有履行合同所必需的设备和专业技术能力；</w:t>
      </w:r>
    </w:p>
    <w:p>
      <w:pPr>
        <w:ind w:left="420" w:leftChars="200" w:firstLine="411" w:firstLineChars="196"/>
        <w:rPr>
          <w:rFonts w:ascii="宋体" w:hAnsi="宋体"/>
        </w:rPr>
      </w:pPr>
      <w:r>
        <w:rPr>
          <w:rFonts w:hint="eastAsia" w:ascii="宋体" w:hAnsi="宋体"/>
        </w:rPr>
        <w:t>4、有依法缴纳税收和社会保障资金的良好记录；</w:t>
      </w:r>
    </w:p>
    <w:p>
      <w:pPr>
        <w:ind w:left="420" w:leftChars="200" w:firstLine="411" w:firstLineChars="196"/>
        <w:rPr>
          <w:rFonts w:ascii="宋体" w:hAnsi="宋体"/>
        </w:rPr>
      </w:pPr>
      <w:r>
        <w:rPr>
          <w:rFonts w:hint="eastAsia" w:ascii="宋体" w:hAnsi="宋体"/>
        </w:rPr>
        <w:t>5、参加政府采购活动前三年内，在经营活动中没有重大违法记录；</w:t>
      </w:r>
    </w:p>
    <w:p>
      <w:pPr>
        <w:ind w:left="420" w:leftChars="200" w:firstLine="411" w:firstLineChars="196"/>
        <w:rPr>
          <w:rFonts w:ascii="宋体" w:hAnsi="宋体"/>
        </w:rPr>
      </w:pPr>
      <w:r>
        <w:rPr>
          <w:rFonts w:hint="eastAsia" w:ascii="宋体" w:hAnsi="宋体"/>
        </w:rPr>
        <w:t>6、法律、行政法规规定的其他条件。</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outlineLvl w:val="1"/>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hint="eastAsia" w:ascii="宋体" w:hAnsi="宋体"/>
          <w:lang w:eastAsia="zh-CN"/>
        </w:rPr>
        <w:t>政府采购扶持贫困地区、中小企业、监狱企业和残疾人福利性单位发展，支持节能减排、环境保护、绿色采购</w:t>
      </w:r>
      <w:r>
        <w:rPr>
          <w:rFonts w:hint="eastAsia" w:ascii="宋体" w:hAnsi="宋体"/>
        </w:rPr>
        <w:t>。</w:t>
      </w:r>
    </w:p>
    <w:p>
      <w:pPr>
        <w:ind w:firstLine="405"/>
        <w:rPr>
          <w:shd w:val="clear" w:color="auto" w:fill="FFFFFF"/>
        </w:rPr>
      </w:pPr>
      <w:r>
        <w:rPr>
          <w:rFonts w:hint="eastAsia" w:ascii="宋体" w:hAnsi="宋体"/>
        </w:rPr>
        <w:t>6.2本项目落实深圳市政府采购供应商诚信管理政策要求。</w:t>
      </w:r>
    </w:p>
    <w:p>
      <w:pPr>
        <w:outlineLvl w:val="1"/>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4投标人</w:t>
      </w:r>
      <w:bookmarkStart w:id="86"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86"/>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outlineLvl w:val="1"/>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outlineLvl w:val="1"/>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outlineLvl w:val="1"/>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85"/>
    <w:p>
      <w:pPr>
        <w:pStyle w:val="5"/>
        <w:numPr>
          <w:ilvl w:val="0"/>
          <w:numId w:val="9"/>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87"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outlineLvl w:val="0"/>
        <w:rPr>
          <w:rFonts w:ascii="宋体" w:hAnsi="宋体"/>
          <w:szCs w:val="21"/>
        </w:rPr>
      </w:pPr>
      <w:r>
        <w:rPr>
          <w:rFonts w:hint="eastAsia" w:ascii="宋体" w:hAnsi="宋体"/>
          <w:szCs w:val="21"/>
        </w:rPr>
        <w:t>第一章  招标公告</w:t>
      </w:r>
    </w:p>
    <w:p>
      <w:pPr>
        <w:ind w:left="630" w:leftChars="300" w:firstLine="411" w:firstLineChars="196"/>
        <w:outlineLvl w:val="0"/>
        <w:rPr>
          <w:rFonts w:ascii="宋体" w:hAnsi="宋体"/>
          <w:szCs w:val="21"/>
        </w:rPr>
      </w:pPr>
      <w:r>
        <w:rPr>
          <w:rFonts w:hint="eastAsia" w:ascii="宋体" w:hAnsi="宋体"/>
          <w:szCs w:val="21"/>
        </w:rPr>
        <w:t>第二章  对通用条款的补充内容及其他关键信息</w:t>
      </w:r>
    </w:p>
    <w:p>
      <w:pPr>
        <w:ind w:left="630" w:leftChars="300" w:firstLine="411" w:firstLineChars="196"/>
        <w:outlineLvl w:val="0"/>
        <w:rPr>
          <w:rFonts w:ascii="宋体" w:hAnsi="宋体"/>
          <w:szCs w:val="21"/>
        </w:rPr>
      </w:pPr>
      <w:r>
        <w:rPr>
          <w:rFonts w:hint="eastAsia" w:ascii="宋体" w:hAnsi="宋体"/>
          <w:szCs w:val="21"/>
        </w:rPr>
        <w:t>第三章  用户需求书</w:t>
      </w:r>
    </w:p>
    <w:p>
      <w:pPr>
        <w:ind w:left="630" w:leftChars="300" w:firstLine="411" w:firstLineChars="196"/>
        <w:outlineLvl w:val="0"/>
        <w:rPr>
          <w:rFonts w:ascii="宋体" w:hAnsi="宋体"/>
          <w:szCs w:val="21"/>
        </w:rPr>
      </w:pPr>
      <w:r>
        <w:rPr>
          <w:rFonts w:hint="eastAsia"/>
        </w:rPr>
        <w:t>第四章 投标文件格式及附件</w:t>
      </w:r>
    </w:p>
    <w:p>
      <w:pPr>
        <w:ind w:left="630" w:leftChars="300" w:firstLine="411" w:firstLineChars="196"/>
        <w:outlineLvl w:val="0"/>
        <w:rPr>
          <w:rFonts w:ascii="宋体" w:hAnsi="宋体"/>
          <w:szCs w:val="21"/>
        </w:rPr>
      </w:pPr>
      <w:r>
        <w:rPr>
          <w:rFonts w:hint="eastAsia" w:ascii="宋体" w:hAnsi="宋体"/>
          <w:szCs w:val="21"/>
        </w:rPr>
        <w:t>第五章  合同条款及格式</w:t>
      </w:r>
    </w:p>
    <w:p>
      <w:pPr>
        <w:ind w:left="420" w:leftChars="200" w:firstLine="413" w:firstLineChars="196"/>
        <w:outlineLvl w:val="0"/>
        <w:rPr>
          <w:rFonts w:ascii="宋体" w:hAnsi="宋体"/>
          <w:b/>
          <w:szCs w:val="21"/>
        </w:rPr>
      </w:pPr>
      <w:r>
        <w:rPr>
          <w:rFonts w:hint="eastAsia" w:ascii="宋体" w:hAnsi="宋体"/>
          <w:b/>
          <w:szCs w:val="21"/>
        </w:rPr>
        <w:t>第二册  通用条款</w:t>
      </w:r>
    </w:p>
    <w:p>
      <w:pPr>
        <w:ind w:left="630" w:leftChars="300" w:firstLine="411" w:firstLineChars="196"/>
        <w:outlineLvl w:val="0"/>
        <w:rPr>
          <w:rFonts w:ascii="宋体" w:hAnsi="宋体"/>
          <w:szCs w:val="21"/>
        </w:rPr>
      </w:pPr>
      <w:r>
        <w:rPr>
          <w:rFonts w:hint="eastAsia" w:ascii="宋体" w:hAnsi="宋体"/>
          <w:szCs w:val="21"/>
        </w:rPr>
        <w:t>第一章  总则</w:t>
      </w:r>
    </w:p>
    <w:p>
      <w:pPr>
        <w:ind w:left="630" w:leftChars="300" w:firstLine="411" w:firstLineChars="196"/>
        <w:outlineLvl w:val="0"/>
        <w:rPr>
          <w:rFonts w:ascii="宋体" w:hAnsi="宋体"/>
          <w:szCs w:val="21"/>
        </w:rPr>
      </w:pPr>
      <w:r>
        <w:rPr>
          <w:rFonts w:hint="eastAsia" w:ascii="宋体" w:hAnsi="宋体"/>
          <w:szCs w:val="21"/>
        </w:rPr>
        <w:t>第二章  招标文件</w:t>
      </w:r>
    </w:p>
    <w:p>
      <w:pPr>
        <w:ind w:left="630" w:leftChars="300" w:firstLine="411" w:firstLineChars="196"/>
        <w:outlineLvl w:val="0"/>
        <w:rPr>
          <w:rFonts w:ascii="宋体" w:hAnsi="宋体"/>
          <w:szCs w:val="21"/>
        </w:rPr>
      </w:pPr>
      <w:r>
        <w:rPr>
          <w:rFonts w:hint="eastAsia" w:ascii="宋体" w:hAnsi="宋体"/>
          <w:szCs w:val="21"/>
        </w:rPr>
        <w:t>第三章  投标文件的编制</w:t>
      </w:r>
    </w:p>
    <w:p>
      <w:pPr>
        <w:ind w:left="630" w:leftChars="300" w:firstLine="411" w:firstLineChars="196"/>
        <w:outlineLvl w:val="0"/>
        <w:rPr>
          <w:rFonts w:ascii="宋体" w:hAnsi="宋体"/>
          <w:szCs w:val="21"/>
        </w:rPr>
      </w:pPr>
      <w:r>
        <w:rPr>
          <w:rFonts w:hint="eastAsia" w:ascii="宋体" w:hAnsi="宋体"/>
          <w:szCs w:val="21"/>
        </w:rPr>
        <w:t>第四章  投标文件的递交</w:t>
      </w:r>
    </w:p>
    <w:p>
      <w:pPr>
        <w:ind w:left="630" w:leftChars="300" w:firstLine="411" w:firstLineChars="196"/>
        <w:outlineLvl w:val="0"/>
        <w:rPr>
          <w:rFonts w:ascii="宋体" w:hAnsi="宋体"/>
          <w:szCs w:val="21"/>
        </w:rPr>
      </w:pPr>
      <w:r>
        <w:rPr>
          <w:rFonts w:hint="eastAsia" w:ascii="宋体" w:hAnsi="宋体"/>
          <w:szCs w:val="21"/>
        </w:rPr>
        <w:t>第五章  开标</w:t>
      </w:r>
    </w:p>
    <w:p>
      <w:pPr>
        <w:ind w:left="630" w:leftChars="300" w:firstLine="411" w:firstLineChars="196"/>
        <w:outlineLvl w:val="0"/>
        <w:rPr>
          <w:rFonts w:ascii="宋体" w:hAnsi="宋体"/>
          <w:szCs w:val="21"/>
        </w:rPr>
      </w:pPr>
      <w:r>
        <w:rPr>
          <w:rFonts w:hint="eastAsia" w:ascii="宋体" w:hAnsi="宋体"/>
          <w:szCs w:val="21"/>
        </w:rPr>
        <w:t>第六章  评审要求</w:t>
      </w:r>
    </w:p>
    <w:p>
      <w:pPr>
        <w:ind w:left="630" w:leftChars="300" w:firstLine="411" w:firstLineChars="196"/>
        <w:outlineLvl w:val="0"/>
        <w:rPr>
          <w:rFonts w:ascii="宋体" w:hAnsi="宋体"/>
          <w:szCs w:val="21"/>
        </w:rPr>
      </w:pPr>
      <w:r>
        <w:rPr>
          <w:rFonts w:hint="eastAsia" w:ascii="宋体" w:hAnsi="宋体"/>
          <w:szCs w:val="21"/>
        </w:rPr>
        <w:t>第七章  评审程序及评审方法</w:t>
      </w:r>
    </w:p>
    <w:p>
      <w:pPr>
        <w:ind w:left="630" w:leftChars="300" w:firstLine="411" w:firstLineChars="196"/>
        <w:outlineLvl w:val="0"/>
        <w:rPr>
          <w:rFonts w:ascii="宋体" w:hAnsi="宋体"/>
          <w:szCs w:val="21"/>
        </w:rPr>
      </w:pPr>
      <w:r>
        <w:rPr>
          <w:rFonts w:hint="eastAsia" w:ascii="宋体" w:hAnsi="宋体"/>
          <w:szCs w:val="21"/>
        </w:rPr>
        <w:t>第八章  定标及公示</w:t>
      </w:r>
    </w:p>
    <w:p>
      <w:pPr>
        <w:ind w:left="630" w:leftChars="300" w:firstLine="411" w:firstLineChars="196"/>
        <w:outlineLvl w:val="0"/>
        <w:rPr>
          <w:rFonts w:ascii="宋体" w:hAnsi="宋体"/>
          <w:szCs w:val="21"/>
        </w:rPr>
      </w:pPr>
      <w:r>
        <w:rPr>
          <w:rFonts w:hint="eastAsia" w:ascii="宋体" w:hAnsi="宋体"/>
          <w:szCs w:val="21"/>
        </w:rPr>
        <w:t>第九章  公开招标失败的后续处理</w:t>
      </w:r>
    </w:p>
    <w:p>
      <w:pPr>
        <w:ind w:left="630" w:leftChars="300" w:firstLine="411" w:firstLineChars="196"/>
        <w:outlineLvl w:val="0"/>
        <w:rPr>
          <w:rFonts w:ascii="宋体" w:hAnsi="宋体"/>
          <w:szCs w:val="21"/>
        </w:rPr>
      </w:pPr>
      <w:r>
        <w:rPr>
          <w:rFonts w:hint="eastAsia" w:ascii="宋体" w:hAnsi="宋体"/>
          <w:szCs w:val="21"/>
        </w:rPr>
        <w:t>第十章  合同的授予与备案</w:t>
      </w:r>
    </w:p>
    <w:p>
      <w:pPr>
        <w:ind w:left="630" w:leftChars="300" w:firstLine="411" w:firstLineChars="196"/>
        <w:outlineLvl w:val="0"/>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87"/>
    </w:p>
    <w:p>
      <w:pPr>
        <w:pStyle w:val="5"/>
        <w:numPr>
          <w:ilvl w:val="0"/>
          <w:numId w:val="9"/>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88"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88"/>
    <w:p>
      <w:pPr>
        <w:rPr>
          <w:rFonts w:ascii="黑体" w:hAnsi="宋体" w:eastAsia="黑体"/>
          <w:sz w:val="24"/>
        </w:rPr>
      </w:pPr>
      <w:r>
        <w:rPr>
          <w:rFonts w:hint="eastAsia" w:ascii="黑体" w:hAnsi="宋体" w:eastAsia="黑体"/>
          <w:sz w:val="24"/>
        </w:rPr>
        <w:t>15．</w:t>
      </w:r>
      <w:bookmarkStart w:id="89"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89"/>
    <w:p>
      <w:pPr>
        <w:rPr>
          <w:rFonts w:ascii="黑体" w:hAnsi="宋体" w:eastAsia="黑体"/>
          <w:sz w:val="24"/>
        </w:rPr>
      </w:pPr>
      <w:r>
        <w:rPr>
          <w:rFonts w:hint="eastAsia" w:ascii="黑体" w:hAnsi="宋体" w:eastAsia="黑体"/>
          <w:sz w:val="24"/>
        </w:rPr>
        <w:t>18．</w:t>
      </w:r>
      <w:bookmarkStart w:id="90"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90"/>
    <w:p>
      <w:pPr>
        <w:rPr>
          <w:rFonts w:ascii="黑体" w:hAnsi="宋体" w:eastAsia="黑体"/>
          <w:sz w:val="24"/>
        </w:rPr>
      </w:pPr>
      <w:r>
        <w:rPr>
          <w:rFonts w:hint="eastAsia" w:ascii="黑体" w:hAnsi="宋体" w:eastAsia="黑体"/>
          <w:sz w:val="24"/>
        </w:rPr>
        <w:t>19．</w:t>
      </w:r>
      <w:bookmarkStart w:id="91" w:name="_Hlk72402034"/>
      <w:r>
        <w:rPr>
          <w:rFonts w:hint="eastAsia" w:ascii="黑体" w:hAnsi="宋体" w:eastAsia="黑体"/>
          <w:sz w:val="24"/>
        </w:rPr>
        <w:t>投标文件其他证明文件的要求</w:t>
      </w:r>
    </w:p>
    <w:p>
      <w:pPr>
        <w:ind w:firstLine="420" w:firstLineChars="200"/>
        <w:rPr>
          <w:rFonts w:ascii="宋体" w:hAnsi="宋体"/>
          <w:color w:val="FF0000"/>
          <w:szCs w:val="21"/>
        </w:rPr>
      </w:pPr>
      <w:r>
        <w:rPr>
          <w:rFonts w:hint="eastAsia" w:ascii="宋体" w:hAnsi="宋体"/>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92" w:name="_Hlk71407299"/>
    </w:p>
    <w:bookmarkEnd w:id="92"/>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91"/>
    <w:p>
      <w:pPr>
        <w:ind w:firstLine="411" w:firstLineChars="196"/>
        <w:rPr>
          <w:rFonts w:ascii="宋体" w:hAnsi="宋体"/>
          <w:szCs w:val="21"/>
        </w:rPr>
      </w:pPr>
      <w:bookmarkStart w:id="93"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93"/>
    <w:p>
      <w:pPr>
        <w:rPr>
          <w:rFonts w:ascii="黑体" w:hAnsi="宋体" w:eastAsia="黑体"/>
          <w:sz w:val="24"/>
        </w:rPr>
      </w:pPr>
      <w:r>
        <w:rPr>
          <w:rFonts w:hint="eastAsia" w:ascii="黑体" w:hAnsi="宋体" w:eastAsia="黑体"/>
          <w:sz w:val="24"/>
        </w:rPr>
        <w:t>21．</w:t>
      </w:r>
      <w:bookmarkStart w:id="94"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 </w:t>
      </w:r>
      <w:r>
        <w:rPr>
          <w:rFonts w:hint="eastAsia"/>
        </w:rPr>
        <w:t>根据《</w:t>
      </w:r>
      <w:r>
        <w:t>深圳市财政局关于明确政府采购保证金管理工作的通知</w:t>
      </w:r>
      <w:r>
        <w:rPr>
          <w:rFonts w:hint="eastAsia"/>
        </w:rPr>
        <w:t>》（深财购[</w:t>
      </w:r>
      <w:r>
        <w:t>2019]42</w:t>
      </w:r>
      <w:r>
        <w:rPr>
          <w:rFonts w:hint="eastAsia"/>
        </w:rPr>
        <w:t>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94"/>
    <w:p>
      <w:pPr>
        <w:rPr>
          <w:rFonts w:ascii="黑体" w:hAnsi="宋体" w:eastAsia="黑体"/>
          <w:sz w:val="24"/>
        </w:rPr>
      </w:pPr>
      <w:r>
        <w:rPr>
          <w:rFonts w:hint="eastAsia" w:ascii="黑体" w:hAnsi="宋体" w:eastAsia="黑体"/>
          <w:sz w:val="24"/>
        </w:rPr>
        <w:t>23．</w:t>
      </w:r>
      <w:bookmarkStart w:id="95"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此电子投标文件须由投标人根据政府集中采购机构提供的后缀名为.szczf的电子招标文件，下载并使用相应的深圳智慧采购平台投标文件制作专用软件打开招标文件（.szczf格式）【下载地址：</w:t>
      </w:r>
      <w:r>
        <w:rPr>
          <w:rFonts w:hint="eastAsia"/>
        </w:rPr>
        <w:t>http://zfcg.szggzy.com:8081/cgxy/013002/20210923/173e0b2c-7a4c-4246-a0c7-e0ea75d84dd6.html</w:t>
      </w:r>
      <w:r>
        <w:rPr>
          <w:rFonts w:hint="eastAsia" w:ascii="宋体" w:hAnsi="宋体"/>
        </w:rPr>
        <w:t>】。</w:t>
      </w:r>
    </w:p>
    <w:p>
      <w:pPr>
        <w:ind w:firstLine="411" w:firstLineChars="196"/>
        <w:rPr>
          <w:rFonts w:ascii="宋体" w:hAnsi="宋体"/>
        </w:rPr>
      </w:pPr>
      <w:r>
        <w:rPr>
          <w:rFonts w:hint="eastAsia" w:ascii="宋体" w:hAnsi="宋体"/>
        </w:rPr>
        <w:t>23.2投标人在使用《投标文件制作软件》编制投标书时须注意：</w:t>
      </w:r>
    </w:p>
    <w:p>
      <w:pPr>
        <w:ind w:firstLine="411" w:firstLineChars="196"/>
        <w:rPr>
          <w:rFonts w:ascii="宋体" w:hAnsi="宋体"/>
        </w:rPr>
      </w:pPr>
      <w:r>
        <w:rPr>
          <w:rFonts w:hint="eastAsia" w:ascii="宋体" w:hAnsi="宋体"/>
        </w:rPr>
        <w:t>23.2.1导入《投标文件制作软件》的招标文件项目编号、包号应与以此制作的投标文件项目编号、包号一致。例如，不能将甲项目A包的招标书导入《投标文件制作软件》，制作乙项目B包的投标书。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23.2.3要求用《投标文件制作软件》编制投标书的包，不能用其它方式编制投标书。编制投标文件时，电脑须连通互联网。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23.2.5完整填写“投标关键信息”，如下图所示：</w:t>
      </w:r>
    </w:p>
    <w:p>
      <w:pPr>
        <w:ind w:firstLine="411" w:firstLineChars="196"/>
        <w:rPr>
          <w:rFonts w:ascii="宋体" w:hAnsi="宋体"/>
        </w:rPr>
      </w:pPr>
      <w:r>
        <w:rPr>
          <w:rFonts w:ascii="宋体" w:hAnsi="宋体"/>
        </w:rPr>
        <w:drawing>
          <wp:inline distT="0" distB="0" distL="0" distR="0">
            <wp:extent cx="5278755" cy="2721610"/>
            <wp:effectExtent l="0" t="0" r="0" b="254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8755" cy="2721610"/>
                    </a:xfrm>
                    <a:prstGeom prst="rect">
                      <a:avLst/>
                    </a:prstGeom>
                    <a:noFill/>
                    <a:ln>
                      <a:noFill/>
                    </a:ln>
                  </pic:spPr>
                </pic:pic>
              </a:graphicData>
            </a:graphic>
          </wp:inline>
        </w:drawing>
      </w:r>
    </w:p>
    <w:p>
      <w:pPr>
        <w:ind w:firstLine="413" w:firstLineChars="196"/>
        <w:rPr>
          <w:rFonts w:ascii="宋体" w:hAnsi="宋体"/>
          <w:b/>
        </w:rPr>
      </w:pPr>
      <w:r>
        <w:rPr>
          <w:rFonts w:hint="eastAsia" w:ascii="宋体" w:hAnsi="宋体"/>
          <w:b/>
        </w:rPr>
        <w:t>备注：上述“开标一览表”中的“投标报价”将作为价格分计算依据；其它信息仅是对投标文件相关内容的概括性表述，不作为评审依据。</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95"/>
    </w:p>
    <w:p>
      <w:pPr>
        <w:pStyle w:val="5"/>
        <w:numPr>
          <w:ilvl w:val="0"/>
          <w:numId w:val="9"/>
        </w:numPr>
        <w:spacing w:before="120" w:beforeLines="50" w:after="120" w:afterLines="50"/>
        <w:ind w:left="562" w:hanging="562"/>
        <w:rPr>
          <w:sz w:val="28"/>
          <w:szCs w:val="28"/>
        </w:rPr>
      </w:pPr>
      <w:r>
        <w:rPr>
          <w:rFonts w:hint="eastAsia"/>
          <w:sz w:val="28"/>
          <w:szCs w:val="28"/>
        </w:rPr>
        <w:t>投标文件的递交</w:t>
      </w:r>
      <w:bookmarkStart w:id="96" w:name="_Hlk72405459"/>
    </w:p>
    <w:p>
      <w:pPr>
        <w:rPr>
          <w:rFonts w:ascii="黑体" w:hAnsi="宋体" w:eastAsia="黑体"/>
          <w:sz w:val="24"/>
        </w:rPr>
      </w:pPr>
      <w:r>
        <w:rPr>
          <w:rFonts w:hint="eastAsia" w:ascii="黑体" w:hAnsi="宋体" w:eastAsia="黑体"/>
          <w:sz w:val="24"/>
        </w:rPr>
        <w:t>24．投标书的保密</w:t>
      </w:r>
    </w:p>
    <w:p>
      <w:pPr>
        <w:ind w:firstLine="411" w:firstLineChars="196"/>
        <w:rPr>
          <w:rFonts w:ascii="宋体" w:hAnsi="宋体"/>
        </w:rPr>
      </w:pPr>
      <w:r>
        <w:rPr>
          <w:rFonts w:hint="eastAsia" w:ascii="宋体" w:hAnsi="宋体"/>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ind w:firstLine="411" w:firstLineChars="196"/>
        <w:rPr>
          <w:rFonts w:ascii="宋体" w:hAnsi="宋体"/>
        </w:rPr>
      </w:pPr>
      <w:r>
        <w:rPr>
          <w:rFonts w:ascii="宋体" w:hAnsi="宋体"/>
        </w:rPr>
        <w:drawing>
          <wp:inline distT="0" distB="0" distL="0" distR="0">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8755" cy="2721610"/>
                    </a:xfrm>
                    <a:prstGeom prst="rect">
                      <a:avLst/>
                    </a:prstGeom>
                    <a:noFill/>
                    <a:ln>
                      <a:noFill/>
                    </a:ln>
                  </pic:spPr>
                </pic:pic>
              </a:graphicData>
            </a:graphic>
          </wp:inline>
        </w:drawing>
      </w:r>
    </w:p>
    <w:p>
      <w:pPr>
        <w:ind w:firstLine="411" w:firstLineChars="196"/>
        <w:rPr>
          <w:rFonts w:ascii="宋体" w:hAnsi="宋体"/>
        </w:rPr>
      </w:pPr>
      <w:r>
        <w:rPr>
          <w:rFonts w:hint="eastAsia" w:ascii="宋体" w:hAnsi="宋体"/>
        </w:rPr>
        <w:t>在投标文件制作软件点击【生成标书】按钮进入【填写开标一览表界面】界面，在该界面填写完开标一览表信息后点击【确定】，进入投标文件生成环节。</w:t>
      </w:r>
      <w:r>
        <w:rPr>
          <w:rFonts w:ascii="宋体" w:hAnsi="宋体"/>
        </w:rPr>
        <w:drawing>
          <wp:inline distT="0" distB="0" distL="0" distR="0">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8755" cy="2732405"/>
                    </a:xfrm>
                    <a:prstGeom prst="rect">
                      <a:avLst/>
                    </a:prstGeom>
                    <a:noFill/>
                    <a:ln>
                      <a:noFill/>
                    </a:ln>
                  </pic:spPr>
                </pic:pic>
              </a:graphicData>
            </a:graphic>
          </wp:inline>
        </w:drawing>
      </w:r>
    </w:p>
    <w:p>
      <w:pPr>
        <w:ind w:firstLine="411" w:firstLineChars="196"/>
        <w:rPr>
          <w:rFonts w:ascii="宋体" w:hAnsi="宋体"/>
        </w:rPr>
      </w:pPr>
      <w:r>
        <w:rPr>
          <w:rFonts w:hint="eastAsia" w:ascii="宋体" w:hAnsi="宋体"/>
        </w:rPr>
        <w:t>投标文件制作软件会在投标文件生成过程中，提示用户输入密码，输入密码后对投标文件自动进行加密。</w:t>
      </w:r>
    </w:p>
    <w:p>
      <w:pPr>
        <w:ind w:firstLine="422" w:firstLineChars="200"/>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如果供下载的招标文件（后缀名为.</w:t>
      </w:r>
      <w:r>
        <w:rPr>
          <w:rFonts w:ascii="宋体" w:hAnsi="宋体"/>
          <w:b/>
        </w:rPr>
        <w:t>szczf</w:t>
      </w:r>
      <w:r>
        <w:rPr>
          <w:rFonts w:hint="eastAsia" w:ascii="宋体" w:hAnsi="宋体"/>
          <w:b/>
        </w:rPr>
        <w:t>）有更新，投标人必须重新下载招标文件、重新制作投标文件、重新加密投标文件、重新上传投标文件；如果供下载的招标文件（后缀名为.</w:t>
      </w:r>
      <w:r>
        <w:rPr>
          <w:rFonts w:ascii="宋体" w:hAnsi="宋体"/>
          <w:b/>
        </w:rPr>
        <w:t>szczf</w:t>
      </w:r>
      <w:r>
        <w:rPr>
          <w:rFonts w:hint="eastAsia" w:ascii="宋体" w:hAnsi="宋体"/>
          <w:b/>
        </w:rPr>
        <w:t>）没有更新，投标人必须重新加密投标文件、重新上传投标文件（是否重新制作投标文件根据项目实际情况定）。否则，投标人自行承担投标文件无法解密导致投标无效的后果。</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政府采购智慧平台用户网上办事子系统（http://zfcg.szggzy.com:8081/TPBidder/memberLogin）”，用“【我的项目】→【项目流程】→【递交投标(应答)文件】”功能点上传投标文件。如上传过程中遇到问题，可拨打技术支持电话，联系方式：</w:t>
      </w:r>
      <w:r>
        <w:rPr>
          <w:rFonts w:hint="eastAsia" w:ascii="宋体" w:hAnsi="宋体"/>
          <w:lang w:eastAsia="zh-CN"/>
        </w:rPr>
        <w:t>36568999</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r>
        <w:rPr>
          <w:rFonts w:hint="eastAsia" w:ascii="宋体" w:hAnsi="宋体"/>
        </w:rPr>
        <w:t>25.4.投标人须在开标当日的开标时间至解密截止时间内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bookmarkEnd w:id="96"/>
    <w:p>
      <w:pPr>
        <w:rPr>
          <w:rFonts w:ascii="黑体" w:hAnsi="宋体" w:eastAsia="黑体"/>
          <w:sz w:val="24"/>
        </w:rPr>
      </w:pPr>
      <w:r>
        <w:rPr>
          <w:rFonts w:hint="eastAsia" w:ascii="黑体" w:hAnsi="宋体" w:eastAsia="黑体"/>
          <w:sz w:val="24"/>
        </w:rPr>
        <w:t>26. 样品、演示、方案讲解</w:t>
      </w:r>
    </w:p>
    <w:p>
      <w:pPr>
        <w:ind w:firstLine="411" w:firstLineChars="196"/>
        <w:rPr>
          <w:rFonts w:ascii="宋体" w:hAnsi="宋体"/>
          <w:szCs w:val="21"/>
        </w:rPr>
      </w:pPr>
      <w:r>
        <w:rPr>
          <w:rFonts w:hint="eastAsia" w:ascii="宋体" w:hAnsi="宋体"/>
          <w:szCs w:val="21"/>
        </w:rPr>
        <w:t>26.1 样品、演示、方案讲解等事项在招标文件专用条款中进行规定。</w:t>
      </w:r>
    </w:p>
    <w:p>
      <w:pPr>
        <w:rPr>
          <w:rFonts w:ascii="黑体" w:hAnsi="宋体" w:eastAsia="黑体"/>
          <w:sz w:val="24"/>
        </w:rPr>
      </w:pPr>
      <w:bookmarkStart w:id="97"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97"/>
    <w:p>
      <w:pPr>
        <w:pStyle w:val="5"/>
        <w:numPr>
          <w:ilvl w:val="0"/>
          <w:numId w:val="9"/>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420" w:firstLineChars="200"/>
        <w:rPr>
          <w:rFonts w:ascii="宋体" w:hAnsi="宋体"/>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w:t>
      </w:r>
      <w:r>
        <w:rPr>
          <w:rFonts w:hint="eastAsia" w:ascii="宋体" w:hAnsi="宋体"/>
        </w:rPr>
        <w:t>投标人须在开标当日的开标时间至解密截止时间内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ind w:firstLine="359" w:firstLineChars="171"/>
        <w:rPr>
          <w:rFonts w:ascii="宋体" w:hAnsi="宋体"/>
          <w:szCs w:val="21"/>
        </w:rPr>
      </w:pPr>
      <w:r>
        <w:rPr>
          <w:rFonts w:hint="eastAsia" w:ascii="宋体" w:hAnsi="宋体"/>
          <w:szCs w:val="21"/>
        </w:rPr>
        <w:t>2</w:t>
      </w:r>
      <w:r>
        <w:rPr>
          <w:rFonts w:ascii="宋体" w:hAnsi="宋体"/>
          <w:szCs w:val="21"/>
        </w:rPr>
        <w:t xml:space="preserve">8.2 </w:t>
      </w:r>
      <w:r>
        <w:rPr>
          <w:rFonts w:hint="eastAsia" w:ascii="宋体" w:hAnsi="宋体"/>
          <w:szCs w:val="21"/>
        </w:rPr>
        <w:t>政府集中采购机构将在满足开标条件（</w:t>
      </w:r>
      <w:r>
        <w:rPr>
          <w:rFonts w:hint="eastAsia" w:ascii="宋体" w:hAnsi="宋体" w:cs="宋体"/>
          <w:color w:val="333333"/>
          <w:sz w:val="20"/>
          <w:szCs w:val="20"/>
          <w:shd w:val="clear" w:color="auto" w:fill="FFFFFF"/>
        </w:rPr>
        <w:t>①</w:t>
      </w:r>
      <w:r>
        <w:rPr>
          <w:rFonts w:hint="eastAsia" w:ascii="宋体" w:hAnsi="宋体"/>
          <w:szCs w:val="21"/>
        </w:rPr>
        <w:t>解密时间结束，解密后的投标供应商数量满足开标要求或</w:t>
      </w:r>
      <w:r>
        <w:rPr>
          <w:rFonts w:hint="eastAsia" w:ascii="宋体" w:hAnsi="宋体" w:cs="宋体"/>
          <w:color w:val="333333"/>
          <w:sz w:val="20"/>
          <w:szCs w:val="20"/>
          <w:shd w:val="clear" w:color="auto" w:fill="FFFFFF"/>
        </w:rPr>
        <w:t>②</w:t>
      </w:r>
      <w:r>
        <w:rPr>
          <w:rFonts w:hint="eastAsia" w:ascii="宋体" w:hAnsi="宋体"/>
          <w:szCs w:val="21"/>
        </w:rPr>
        <w:t>解密时间结束前所有投标供应商均完成投标文件解密）后，对投标文件进行开标，并在网上公布开标结果。</w:t>
      </w:r>
    </w:p>
    <w:p>
      <w:pPr>
        <w:pStyle w:val="5"/>
        <w:numPr>
          <w:ilvl w:val="0"/>
          <w:numId w:val="9"/>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98"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98"/>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从深圳市政府采购评审专家库中随机抽取。采购人代表须持采购人出具的《评审授权书》参加评审，。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（3）招标文件规定的投标人的资格、预算金额、商务条款；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pStyle w:val="5"/>
        <w:numPr>
          <w:ilvl w:val="0"/>
          <w:numId w:val="9"/>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ind w:firstLine="411" w:firstLineChars="196"/>
        <w:rPr>
          <w:rFonts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ind w:firstLine="411" w:firstLineChars="196"/>
        <w:rPr>
          <w:rFonts w:ascii="宋体" w:hAnsi="宋体"/>
        </w:rPr>
      </w:pPr>
      <w:r>
        <w:rPr>
          <w:rFonts w:hint="eastAsia" w:ascii="宋体" w:hAnsi="宋体"/>
        </w:rPr>
        <w:t xml:space="preserve">32.6 </w:t>
      </w:r>
      <w:r>
        <w:rPr>
          <w:rFonts w:hint="eastAsia"/>
        </w:rPr>
        <w:t>不同投标人的上传投标文件的</w:t>
      </w:r>
      <w:r>
        <w:t>“IP</w:t>
      </w:r>
      <w:r>
        <w:rPr>
          <w:rFonts w:hint="eastAsia"/>
        </w:rPr>
        <w:t>地址</w:t>
      </w:r>
      <w:r>
        <w:t>”</w:t>
      </w:r>
      <w:r>
        <w:rPr>
          <w:rFonts w:hint="eastAsia"/>
        </w:rPr>
        <w:t>信息异常一致的，不得作为投标无效的理由。如出现上述异常情况，应报主管部门处理。</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99"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99"/>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100" w:name="_Toc73521581"/>
      <w:bookmarkStart w:id="101" w:name="_Toc73521669"/>
      <w:bookmarkStart w:id="102" w:name="_Toc100052400"/>
      <w:bookmarkStart w:id="103" w:name="_Toc73517673"/>
      <w:bookmarkStart w:id="104" w:name="_Toc73518151"/>
      <w:r>
        <w:rPr>
          <w:rFonts w:hint="eastAsia" w:ascii="黑体" w:hAnsi="宋体" w:eastAsia="黑体"/>
          <w:sz w:val="24"/>
        </w:rPr>
        <w:t>34．错误的修正</w:t>
      </w:r>
      <w:bookmarkEnd w:id="100"/>
      <w:bookmarkEnd w:id="101"/>
      <w:bookmarkEnd w:id="102"/>
      <w:bookmarkEnd w:id="103"/>
      <w:bookmarkEnd w:id="104"/>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hint="eastAsia" w:ascii="ˎ̥" w:hAnsi="ˎ̥"/>
        </w:rPr>
      </w:pPr>
      <w:bookmarkStart w:id="105"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hint="eastAsia"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105"/>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pStyle w:val="5"/>
        <w:numPr>
          <w:ilvl w:val="0"/>
          <w:numId w:val="9"/>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106"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hint="eastAsia"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107" w:name="_Hlk73821177"/>
      <w:r>
        <w:rPr>
          <w:rFonts w:hint="eastAsia" w:ascii="ˎ̥" w:hAnsi="ˎ̥"/>
        </w:rPr>
        <w:t>中标供应商</w:t>
      </w:r>
      <w:r>
        <w:rPr>
          <w:rFonts w:ascii="ˎ̥" w:hAnsi="ˎ̥"/>
        </w:rPr>
        <w:t>（</w:t>
      </w:r>
      <w:r>
        <w:rPr>
          <w:rFonts w:hint="eastAsia" w:ascii="ˎ̥" w:hAnsi="ˎ̥"/>
        </w:rPr>
        <w:t>排名</w:t>
      </w:r>
      <w:r>
        <w:rPr>
          <w:rFonts w:ascii="ˎ̥" w:hAnsi="ˎ̥"/>
        </w:rPr>
        <w:t>第二</w:t>
      </w:r>
      <w:r>
        <w:rPr>
          <w:rFonts w:hint="eastAsia" w:ascii="ˎ̥" w:hAnsi="ˎ̥"/>
        </w:rPr>
        <w:t>的投标人为第一替补中标候选人、排名</w:t>
      </w:r>
      <w:r>
        <w:rPr>
          <w:rFonts w:ascii="ˎ̥" w:hAnsi="ˎ̥"/>
        </w:rPr>
        <w:t>第</w:t>
      </w:r>
      <w:r>
        <w:rPr>
          <w:rFonts w:hint="eastAsia" w:ascii="ˎ̥" w:hAnsi="ˎ̥"/>
        </w:rPr>
        <w:t>三的投标人为第二替补中标候选人</w:t>
      </w:r>
      <w:bookmarkEnd w:id="107"/>
      <w:r>
        <w:rPr>
          <w:rFonts w:ascii="ˎ̥" w:hAnsi="ˎ̥"/>
        </w:rPr>
        <w:t>）。</w:t>
      </w:r>
    </w:p>
    <w:p>
      <w:pPr>
        <w:ind w:firstLine="411" w:firstLineChars="196"/>
        <w:rPr>
          <w:rFonts w:hint="eastAsia" w:ascii="ˎ̥" w:hAnsi="ˎ̥"/>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为中标供应商</w:t>
      </w:r>
      <w:r>
        <w:rPr>
          <w:rFonts w:ascii="ˎ̥" w:hAnsi="ˎ̥"/>
        </w:rPr>
        <w:t>（</w:t>
      </w:r>
      <w:r>
        <w:rPr>
          <w:rFonts w:hint="eastAsia" w:ascii="ˎ̥" w:hAnsi="ˎ̥"/>
        </w:rPr>
        <w:t>排名</w:t>
      </w:r>
      <w:r>
        <w:rPr>
          <w:rFonts w:ascii="ˎ̥" w:hAnsi="ˎ̥"/>
        </w:rPr>
        <w:t>第二</w:t>
      </w:r>
      <w:r>
        <w:rPr>
          <w:rFonts w:hint="eastAsia" w:ascii="ˎ̥" w:hAnsi="ˎ̥"/>
        </w:rPr>
        <w:t>的投标人为第一替补中标候选人、排名</w:t>
      </w:r>
      <w:r>
        <w:rPr>
          <w:rFonts w:ascii="ˎ̥" w:hAnsi="ˎ̥"/>
        </w:rPr>
        <w:t>第</w:t>
      </w:r>
      <w:r>
        <w:rPr>
          <w:rFonts w:hint="eastAsia" w:ascii="ˎ̥" w:hAnsi="ˎ̥"/>
        </w:rPr>
        <w:t>三的投标人为第二替补中标候选人</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108"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109"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108"/>
      <w:bookmarkEnd w:id="109"/>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106"/>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110" w:name="_Hlk72438709"/>
      <w:r>
        <w:rPr>
          <w:rFonts w:hint="eastAsia" w:ascii="宋体" w:hAnsi="宋体"/>
          <w:szCs w:val="21"/>
        </w:rPr>
        <w:t>为体现“公开、公平、公正”的原则，评审结束后经采购人确认（确定）评审结果，政府集中采购机构将在“深圳政府采购智慧平台（http://zfcg.szggzy.com:8081/）”上发布中标结果公告。</w:t>
      </w:r>
      <w:bookmarkEnd w:id="110"/>
      <w:bookmarkStart w:id="111"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111"/>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112" w:name="_Hlk72438863"/>
      <w:r>
        <w:rPr>
          <w:rFonts w:hint="eastAsia" w:ascii="宋体" w:hAnsi="宋体"/>
          <w:szCs w:val="21"/>
        </w:rPr>
        <w:t>中标公告公布以后无异常的情况下,中标供应商和采购人可自行在“深圳政府采购智慧平台（http://zfcg.szggzy.com:8081/）”上打印</w:t>
      </w:r>
      <w:r>
        <w:rPr>
          <w:rFonts w:hint="eastAsia" w:ascii="宋体" w:hAnsi="宋体"/>
          <w:b/>
          <w:szCs w:val="21"/>
        </w:rPr>
        <w:t>《数字中标通知书》（</w:t>
      </w:r>
      <w:r>
        <w:rPr>
          <w:rFonts w:hint="eastAsia" w:ascii="宋体" w:hAnsi="宋体"/>
          <w:szCs w:val="21"/>
        </w:rPr>
        <w:t>咨询电话：</w:t>
      </w:r>
      <w:r>
        <w:rPr>
          <w:rFonts w:hint="eastAsia" w:ascii="宋体" w:hAnsi="宋体"/>
          <w:b/>
          <w:bCs/>
          <w:szCs w:val="21"/>
          <w:lang w:eastAsia="zh-CN"/>
        </w:rPr>
        <w:t>36568999</w:t>
      </w:r>
      <w:r>
        <w:rPr>
          <w:rFonts w:hint="eastAsia" w:ascii="宋体" w:hAnsi="宋体"/>
          <w:szCs w:val="21"/>
        </w:rPr>
        <w:t>）。</w:t>
      </w:r>
      <w:bookmarkEnd w:id="112"/>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113" w:name="_Hlk71407340"/>
      <w:r>
        <w:rPr>
          <w:rFonts w:hint="eastAsia" w:ascii="宋体" w:hAnsi="宋体"/>
          <w:szCs w:val="21"/>
        </w:rPr>
        <w:t>41.3因质疑投诉或其它原因导致项目结果变更或采购终止的，政府集中采购机构有权吊销中标通知书。</w:t>
      </w:r>
    </w:p>
    <w:bookmarkEnd w:id="113"/>
    <w:p>
      <w:pPr>
        <w:pStyle w:val="5"/>
        <w:numPr>
          <w:ilvl w:val="0"/>
          <w:numId w:val="9"/>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ind w:firstLine="420" w:firstLineChars="200"/>
        <w:rPr>
          <w:rFonts w:ascii="宋体" w:hAnsi="宋体"/>
        </w:rPr>
      </w:pPr>
      <w:r>
        <w:rPr>
          <w:rFonts w:hint="eastAsia" w:ascii="宋体" w:hAnsi="宋体"/>
        </w:rPr>
        <w:t>42.5公开招标失败的采购项目经同级财政部门批准转为竞争性谈判或单一来源谈判方式采购的，按规定要求组织政府采购工作。</w:t>
      </w:r>
    </w:p>
    <w:p>
      <w:pPr>
        <w:pStyle w:val="5"/>
        <w:numPr>
          <w:ilvl w:val="0"/>
          <w:numId w:val="9"/>
        </w:numPr>
        <w:spacing w:before="120" w:beforeLines="50" w:after="120" w:afterLines="50"/>
        <w:ind w:left="562" w:hanging="562"/>
        <w:rPr>
          <w:sz w:val="28"/>
          <w:szCs w:val="28"/>
        </w:rPr>
      </w:pPr>
      <w:bookmarkStart w:id="114" w:name="_Hlk72439043"/>
      <w:r>
        <w:rPr>
          <w:rFonts w:hint="eastAsia"/>
          <w:sz w:val="28"/>
          <w:szCs w:val="28"/>
        </w:rPr>
        <w:t>合同的授予与备案</w:t>
      </w:r>
      <w:bookmarkEnd w:id="114"/>
    </w:p>
    <w:p>
      <w:pPr>
        <w:rPr>
          <w:rFonts w:ascii="黑体" w:hAnsi="宋体" w:eastAsia="黑体"/>
          <w:sz w:val="24"/>
        </w:rPr>
      </w:pPr>
      <w:bookmarkStart w:id="115" w:name="_Toc100052408"/>
      <w:bookmarkStart w:id="116" w:name="_Toc73517679"/>
      <w:bookmarkStart w:id="117" w:name="_Toc73518157"/>
      <w:bookmarkStart w:id="118" w:name="_Toc73521586"/>
      <w:bookmarkStart w:id="119" w:name="_Toc73521674"/>
      <w:bookmarkStart w:id="120" w:name="_Hlk72439088"/>
      <w:r>
        <w:rPr>
          <w:rFonts w:hint="eastAsia" w:ascii="黑体" w:hAnsi="宋体" w:eastAsia="黑体"/>
          <w:sz w:val="24"/>
        </w:rPr>
        <w:t>43．合同授予标准</w:t>
      </w:r>
      <w:bookmarkEnd w:id="115"/>
      <w:bookmarkEnd w:id="116"/>
      <w:bookmarkEnd w:id="117"/>
      <w:bookmarkEnd w:id="118"/>
      <w:bookmarkEnd w:id="119"/>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121" w:name="_Toc73521587"/>
      <w:bookmarkStart w:id="122" w:name="_Toc73518158"/>
      <w:bookmarkStart w:id="123" w:name="_Toc73517680"/>
      <w:bookmarkStart w:id="124" w:name="_Toc100052409"/>
      <w:bookmarkStart w:id="125" w:name="_Toc73521675"/>
      <w:r>
        <w:rPr>
          <w:rFonts w:hint="eastAsia" w:ascii="黑体" w:hAnsi="宋体" w:eastAsia="黑体"/>
          <w:sz w:val="24"/>
        </w:rPr>
        <w:t>44．</w:t>
      </w:r>
      <w:bookmarkEnd w:id="121"/>
      <w:bookmarkEnd w:id="122"/>
      <w:bookmarkEnd w:id="123"/>
      <w:bookmarkEnd w:id="124"/>
      <w:bookmarkEnd w:id="125"/>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126" w:name="_Toc73521677"/>
      <w:bookmarkStart w:id="127" w:name="_Toc73521589"/>
      <w:bookmarkStart w:id="128" w:name="_Toc73518160"/>
      <w:bookmarkStart w:id="129" w:name="_Toc73517682"/>
      <w:bookmarkStart w:id="130" w:name="_Toc100052410"/>
      <w:r>
        <w:rPr>
          <w:rFonts w:hint="eastAsia" w:ascii="黑体" w:hAnsi="宋体" w:eastAsia="黑体"/>
          <w:sz w:val="24"/>
        </w:rPr>
        <w:t>45．合同的签订</w:t>
      </w:r>
      <w:bookmarkEnd w:id="126"/>
      <w:bookmarkEnd w:id="127"/>
      <w:bookmarkEnd w:id="128"/>
      <w:bookmarkEnd w:id="129"/>
      <w:bookmarkEnd w:id="130"/>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131" w:name="_Toc73518161"/>
      <w:bookmarkStart w:id="132" w:name="_Toc73521678"/>
      <w:bookmarkStart w:id="133" w:name="_Toc73517683"/>
      <w:bookmarkStart w:id="134" w:name="_Toc100052411"/>
      <w:bookmarkStart w:id="135" w:name="_Toc73521590"/>
      <w:r>
        <w:rPr>
          <w:rFonts w:hint="eastAsia" w:ascii="黑体" w:hAnsi="宋体" w:eastAsia="黑体"/>
          <w:sz w:val="24"/>
        </w:rPr>
        <w:t>46．履约担保</w:t>
      </w:r>
      <w:bookmarkEnd w:id="131"/>
      <w:bookmarkEnd w:id="132"/>
      <w:bookmarkEnd w:id="133"/>
      <w:bookmarkEnd w:id="134"/>
      <w:bookmarkEnd w:id="135"/>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ind w:firstLine="411" w:firstLineChars="196"/>
        <w:rPr>
          <w:rFonts w:ascii="宋体" w:hAnsi="宋体"/>
          <w:szCs w:val="21"/>
        </w:rPr>
      </w:pPr>
      <w:r>
        <w:rPr>
          <w:rFonts w:hint="eastAsia" w:ascii="宋体" w:hAnsi="宋体"/>
          <w:szCs w:val="21"/>
        </w:rPr>
        <w:t>采购人与中标人应于合同签订之日起十日内，由采购人或委托中标人将采购合同副本抄送合同备案工作实施机构备案。</w:t>
      </w:r>
    </w:p>
    <w:p>
      <w:pPr>
        <w:rPr>
          <w:rFonts w:ascii="黑体" w:hAnsi="宋体" w:eastAsia="黑体"/>
          <w:sz w:val="24"/>
        </w:rPr>
      </w:pP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p>
    <w:p>
      <w:pPr>
        <w:rPr>
          <w:rFonts w:ascii="黑体" w:hAnsi="宋体" w:eastAsia="黑体"/>
          <w:sz w:val="24"/>
        </w:rPr>
      </w:pPr>
      <w:r>
        <w:rPr>
          <w:rFonts w:hint="eastAsia" w:ascii="黑体" w:hAnsi="宋体" w:eastAsia="黑体"/>
          <w:sz w:val="24"/>
        </w:rPr>
        <w:t>50. 宣传</w:t>
      </w:r>
    </w:p>
    <w:p>
      <w:pPr>
        <w:ind w:firstLine="420" w:firstLineChars="200"/>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firstLine="420" w:firstLineChars="200"/>
        <w:rPr>
          <w:rFonts w:ascii="宋体" w:hAnsi="宋体"/>
        </w:rPr>
      </w:pPr>
      <w:r>
        <w:rPr>
          <w:rFonts w:ascii="宋体" w:hAnsi="宋体"/>
        </w:rPr>
        <w:t>a.名片、宣传册、广告标语等；</w:t>
      </w:r>
    </w:p>
    <w:p>
      <w:pPr>
        <w:ind w:firstLine="420" w:firstLineChars="200"/>
        <w:rPr>
          <w:rFonts w:ascii="宋体" w:hAnsi="宋体"/>
        </w:rPr>
      </w:pPr>
      <w:r>
        <w:rPr>
          <w:rFonts w:ascii="宋体" w:hAnsi="宋体"/>
        </w:rPr>
        <w:t>b.案例介绍、推广等；</w:t>
      </w:r>
    </w:p>
    <w:p>
      <w:pPr>
        <w:ind w:firstLine="420" w:firstLineChars="200"/>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根据《深圳市财政局关于明确政府采购保证金管理工作的通知》（深财购[2019]42号）的要求，供应商在政府采购活动中出现《深圳经济特区政府采购条例实施细则》第八十四条所列情形的，</w:t>
      </w:r>
      <w:bookmarkStart w:id="136" w:name="_Hlk72440769"/>
      <w:r>
        <w:rPr>
          <w:rFonts w:hint="eastAsia" w:ascii="宋体" w:hAnsi="宋体"/>
          <w:szCs w:val="21"/>
        </w:rPr>
        <w:t>采购人或政府集中采购机构</w:t>
      </w:r>
      <w:bookmarkEnd w:id="136"/>
      <w:r>
        <w:rPr>
          <w:rFonts w:hint="eastAsia" w:ascii="宋体" w:hAnsi="宋体"/>
          <w:szCs w:val="21"/>
        </w:rPr>
        <w:t>可将有关情况报同级财政部门，由财政部门根据实际情况记入供应商诚信档案，予以通报：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120"/>
    <w:p>
      <w:pPr>
        <w:pStyle w:val="5"/>
        <w:numPr>
          <w:ilvl w:val="0"/>
          <w:numId w:val="9"/>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bookmarkStart w:id="137" w:name="_Hlk72439706"/>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138" w:name="_Hlk75374941"/>
      <w:r>
        <w:rPr>
          <w:rFonts w:hint="eastAsia" w:ascii="宋体" w:hAnsi="宋体"/>
          <w:szCs w:val="21"/>
        </w:rPr>
        <w:t>以联合体形式参与的，质疑应当由组成联合体的所有成员共同提出</w:t>
      </w:r>
      <w:bookmarkEnd w:id="138"/>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52.5提交方式</w:t>
      </w:r>
    </w:p>
    <w:p>
      <w:pPr>
        <w:ind w:firstLine="420" w:firstLineChars="200"/>
        <w:rPr>
          <w:rFonts w:ascii="宋体" w:hAnsi="宋体"/>
          <w:b/>
          <w:bCs/>
          <w:szCs w:val="21"/>
        </w:rPr>
      </w:pPr>
      <w:r>
        <w:rPr>
          <w:rFonts w:hint="eastAsia" w:ascii="宋体" w:hAnsi="宋体"/>
          <w:szCs w:val="21"/>
        </w:rPr>
        <w:t>5</w:t>
      </w:r>
      <w:r>
        <w:rPr>
          <w:rFonts w:ascii="宋体" w:hAnsi="宋体"/>
          <w:szCs w:val="21"/>
        </w:rPr>
        <w:t>2.5.1</w:t>
      </w:r>
      <w:r>
        <w:rPr>
          <w:rFonts w:hint="eastAsia" w:ascii="宋体" w:hAnsi="宋体"/>
          <w:szCs w:val="21"/>
        </w:rPr>
        <w:t>请质疑供应商根据深圳政府采购智慧平台（http://zfcg.szggzy.com:8081/）所发布的质疑指引、质疑函模板填写质疑函并提交质疑材料。</w:t>
      </w:r>
      <w:r>
        <w:rPr>
          <w:rFonts w:hint="eastAsia" w:ascii="宋体" w:hAnsi="宋体"/>
          <w:b/>
          <w:bCs/>
          <w:szCs w:val="21"/>
        </w:rPr>
        <w:t>地址：深圳市南山区沙河西路3185号南山智谷A座（深圳交易集团总部大楼）27楼，质疑咨询电话：0755-86500050。</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对质疑答复不满意或者未在规定时间内答复的，提出质疑的供应商可以在答复期满后15个工作日内向同级财政部门投诉。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rPr>
          <w:rFonts w:ascii="宋体" w:hAnsi="宋体"/>
          <w:szCs w:val="21"/>
        </w:rP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p>
    <w:p>
      <w:pPr>
        <w:jc w:val="center"/>
      </w:pPr>
      <w:r>
        <w:t>---- END ----</w:t>
      </w:r>
      <w:bookmarkEnd w:id="137"/>
    </w:p>
    <w:sectPr>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t xml:space="preserve">- </w:t>
    </w:r>
    <w:r>
      <w:fldChar w:fldCharType="begin"/>
    </w:r>
    <w:r>
      <w:instrText xml:space="preserve"> PAGE </w:instrText>
    </w:r>
    <w:r>
      <w:fldChar w:fldCharType="separate"/>
    </w:r>
    <w:r>
      <w:t>17</w:t>
    </w:r>
    <w:r>
      <w:fldChar w:fldCharType="end"/>
    </w:r>
    <w:r>
      <w:t xml:space="preserve"> -</w: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rPr>
        <w:rStyle w:val="48"/>
      </w:rPr>
      <w:fldChar w:fldCharType="begin"/>
    </w:r>
    <w:r>
      <w:rPr>
        <w:rStyle w:val="48"/>
      </w:rPr>
      <w:instrText xml:space="preserve">PAGE  </w:instrText>
    </w:r>
    <w:r>
      <w:rPr>
        <w:rStyle w:val="48"/>
      </w:rPr>
      <w:fldChar w:fldCharType="separate"/>
    </w:r>
    <w:r>
      <w:rPr>
        <w:rStyle w:val="48"/>
      </w:rPr>
      <w:t>2</w:t>
    </w:r>
    <w:r>
      <w:rPr>
        <w:rStyle w:val="48"/>
      </w:rP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E6500"/>
    <w:multiLevelType w:val="singleLevel"/>
    <w:tmpl w:val="947E6500"/>
    <w:lvl w:ilvl="0" w:tentative="0">
      <w:start w:val="1"/>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67"/>
      <w:lvlText w:val="%1."/>
      <w:lvlJc w:val="left"/>
      <w:pPr>
        <w:tabs>
          <w:tab w:val="left" w:pos="7994"/>
        </w:tabs>
        <w:ind w:left="7994" w:leftChars="800" w:hanging="360" w:hangingChars="200"/>
      </w:pPr>
    </w:lvl>
  </w:abstractNum>
  <w:abstractNum w:abstractNumId="2">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3">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503483"/>
    <w:multiLevelType w:val="multilevel"/>
    <w:tmpl w:val="12503483"/>
    <w:lvl w:ilvl="0" w:tentative="0">
      <w:start w:val="1"/>
      <w:numFmt w:val="bullet"/>
      <w:pStyle w:val="115"/>
      <w:lvlText w:val=""/>
      <w:lvlJc w:val="left"/>
      <w:pPr>
        <w:tabs>
          <w:tab w:val="left" w:pos="420"/>
        </w:tabs>
        <w:ind w:left="420" w:hanging="420"/>
      </w:pPr>
      <w:rPr>
        <w:rFonts w:hint="default" w:ascii="Wingdings" w:hAnsi="Wingdings"/>
      </w:rPr>
    </w:lvl>
    <w:lvl w:ilvl="1" w:tentative="0">
      <w:start w:val="1"/>
      <w:numFmt w:val="bullet"/>
      <w:pStyle w:val="11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60D20D0"/>
    <w:multiLevelType w:val="multilevel"/>
    <w:tmpl w:val="160D20D0"/>
    <w:lvl w:ilvl="0" w:tentative="0">
      <w:start w:val="1"/>
      <w:numFmt w:val="bullet"/>
      <w:pStyle w:val="83"/>
      <w:lvlText w:val=""/>
      <w:lvlJc w:val="left"/>
      <w:pPr>
        <w:tabs>
          <w:tab w:val="left" w:pos="840"/>
        </w:tabs>
        <w:ind w:left="840" w:hanging="420"/>
      </w:pPr>
      <w:rPr>
        <w:rFonts w:hint="default" w:ascii="Wingdings" w:hAnsi="Wingdings"/>
      </w:rPr>
    </w:lvl>
    <w:lvl w:ilvl="1" w:tentative="0">
      <w:start w:val="1"/>
      <w:numFmt w:val="bullet"/>
      <w:pStyle w:val="8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F395B7B"/>
    <w:multiLevelType w:val="multilevel"/>
    <w:tmpl w:val="2F395B7B"/>
    <w:lvl w:ilvl="0" w:tentative="0">
      <w:start w:val="1"/>
      <w:numFmt w:val="bullet"/>
      <w:pStyle w:val="175"/>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4D034486"/>
    <w:multiLevelType w:val="singleLevel"/>
    <w:tmpl w:val="4D034486"/>
    <w:lvl w:ilvl="0" w:tentative="0">
      <w:start w:val="3"/>
      <w:numFmt w:val="chineseCounting"/>
      <w:suff w:val="space"/>
      <w:lvlText w:val="第%1条"/>
      <w:lvlJc w:val="left"/>
      <w:rPr>
        <w:rFonts w:hint="eastAsia"/>
      </w:rPr>
    </w:lvl>
  </w:abstractNum>
  <w:abstractNum w:abstractNumId="8">
    <w:nsid w:val="7AEF7716"/>
    <w:multiLevelType w:val="multilevel"/>
    <w:tmpl w:val="7AEF7716"/>
    <w:lvl w:ilvl="0" w:tentative="0">
      <w:start w:val="1"/>
      <w:numFmt w:val="chineseCountingThousand"/>
      <w:pStyle w:val="128"/>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5"/>
  </w:num>
  <w:num w:numId="4">
    <w:abstractNumId w:val="4"/>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NGFjNmZlNzA2YWU1MWNmYmI4ODU4NzgxNWNhYzkifQ=="/>
  </w:docVars>
  <w:rsids>
    <w:rsidRoot w:val="006C5683"/>
    <w:rsid w:val="000006EA"/>
    <w:rsid w:val="00000AD9"/>
    <w:rsid w:val="000043C0"/>
    <w:rsid w:val="00004F2D"/>
    <w:rsid w:val="000050CA"/>
    <w:rsid w:val="000051C6"/>
    <w:rsid w:val="00005215"/>
    <w:rsid w:val="0000597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716B"/>
    <w:rsid w:val="00017F81"/>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237"/>
    <w:rsid w:val="00036A2B"/>
    <w:rsid w:val="000379C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0A3D"/>
    <w:rsid w:val="00060C1C"/>
    <w:rsid w:val="00061D20"/>
    <w:rsid w:val="0006267A"/>
    <w:rsid w:val="0006335B"/>
    <w:rsid w:val="00063C25"/>
    <w:rsid w:val="00064892"/>
    <w:rsid w:val="00066026"/>
    <w:rsid w:val="0006660A"/>
    <w:rsid w:val="0006670C"/>
    <w:rsid w:val="00067960"/>
    <w:rsid w:val="0007003A"/>
    <w:rsid w:val="00070210"/>
    <w:rsid w:val="000707BF"/>
    <w:rsid w:val="00072B70"/>
    <w:rsid w:val="00072CB4"/>
    <w:rsid w:val="000734CD"/>
    <w:rsid w:val="00074403"/>
    <w:rsid w:val="000750DC"/>
    <w:rsid w:val="00075497"/>
    <w:rsid w:val="0007583C"/>
    <w:rsid w:val="00075E26"/>
    <w:rsid w:val="00076057"/>
    <w:rsid w:val="00076D4B"/>
    <w:rsid w:val="000770EC"/>
    <w:rsid w:val="00080613"/>
    <w:rsid w:val="00081461"/>
    <w:rsid w:val="00082667"/>
    <w:rsid w:val="00082AD2"/>
    <w:rsid w:val="00083DC6"/>
    <w:rsid w:val="00084857"/>
    <w:rsid w:val="000849B8"/>
    <w:rsid w:val="000850AF"/>
    <w:rsid w:val="000852EB"/>
    <w:rsid w:val="000869D8"/>
    <w:rsid w:val="00086CA6"/>
    <w:rsid w:val="00090213"/>
    <w:rsid w:val="00092FC7"/>
    <w:rsid w:val="00093133"/>
    <w:rsid w:val="0009395E"/>
    <w:rsid w:val="00094C6E"/>
    <w:rsid w:val="000954D5"/>
    <w:rsid w:val="00095723"/>
    <w:rsid w:val="000959B5"/>
    <w:rsid w:val="00095A74"/>
    <w:rsid w:val="0009618D"/>
    <w:rsid w:val="0009709B"/>
    <w:rsid w:val="000975E3"/>
    <w:rsid w:val="000A1DD1"/>
    <w:rsid w:val="000A21A5"/>
    <w:rsid w:val="000A3908"/>
    <w:rsid w:val="000A4C29"/>
    <w:rsid w:val="000A5B36"/>
    <w:rsid w:val="000A6E2B"/>
    <w:rsid w:val="000A79D3"/>
    <w:rsid w:val="000B05E2"/>
    <w:rsid w:val="000B2568"/>
    <w:rsid w:val="000B41BB"/>
    <w:rsid w:val="000B5357"/>
    <w:rsid w:val="000B597F"/>
    <w:rsid w:val="000B634D"/>
    <w:rsid w:val="000B73D2"/>
    <w:rsid w:val="000B7465"/>
    <w:rsid w:val="000C14CB"/>
    <w:rsid w:val="000C18BC"/>
    <w:rsid w:val="000C1D03"/>
    <w:rsid w:val="000C1EE4"/>
    <w:rsid w:val="000C1FF9"/>
    <w:rsid w:val="000C4151"/>
    <w:rsid w:val="000C4425"/>
    <w:rsid w:val="000C4B12"/>
    <w:rsid w:val="000C5FA7"/>
    <w:rsid w:val="000C7E71"/>
    <w:rsid w:val="000D0BCE"/>
    <w:rsid w:val="000D16AA"/>
    <w:rsid w:val="000D1A7D"/>
    <w:rsid w:val="000D2309"/>
    <w:rsid w:val="000D2CCA"/>
    <w:rsid w:val="000D366B"/>
    <w:rsid w:val="000D37B4"/>
    <w:rsid w:val="000D38F9"/>
    <w:rsid w:val="000D5D6B"/>
    <w:rsid w:val="000D7A20"/>
    <w:rsid w:val="000E161C"/>
    <w:rsid w:val="000E2C39"/>
    <w:rsid w:val="000E355C"/>
    <w:rsid w:val="000E4445"/>
    <w:rsid w:val="000E470B"/>
    <w:rsid w:val="000E4DE8"/>
    <w:rsid w:val="000E4EF8"/>
    <w:rsid w:val="000E50F5"/>
    <w:rsid w:val="000E5E99"/>
    <w:rsid w:val="000E655B"/>
    <w:rsid w:val="000E6A66"/>
    <w:rsid w:val="000F0C3B"/>
    <w:rsid w:val="000F0E9F"/>
    <w:rsid w:val="000F1540"/>
    <w:rsid w:val="000F1D4A"/>
    <w:rsid w:val="000F2065"/>
    <w:rsid w:val="000F2A88"/>
    <w:rsid w:val="000F2C23"/>
    <w:rsid w:val="000F2D1B"/>
    <w:rsid w:val="000F3658"/>
    <w:rsid w:val="000F3B37"/>
    <w:rsid w:val="000F3C85"/>
    <w:rsid w:val="000F3F12"/>
    <w:rsid w:val="000F565B"/>
    <w:rsid w:val="000F5C6C"/>
    <w:rsid w:val="000F5F3F"/>
    <w:rsid w:val="000F64AD"/>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2800"/>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17AD"/>
    <w:rsid w:val="00131FC3"/>
    <w:rsid w:val="0013281E"/>
    <w:rsid w:val="00132F1A"/>
    <w:rsid w:val="00132FD3"/>
    <w:rsid w:val="001339CF"/>
    <w:rsid w:val="0013673A"/>
    <w:rsid w:val="00136D81"/>
    <w:rsid w:val="001410EB"/>
    <w:rsid w:val="00141224"/>
    <w:rsid w:val="00143103"/>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012"/>
    <w:rsid w:val="0016595F"/>
    <w:rsid w:val="00166A2C"/>
    <w:rsid w:val="00166BF2"/>
    <w:rsid w:val="00166CC3"/>
    <w:rsid w:val="00170A9E"/>
    <w:rsid w:val="00170ED1"/>
    <w:rsid w:val="0017121A"/>
    <w:rsid w:val="00171401"/>
    <w:rsid w:val="0017141F"/>
    <w:rsid w:val="00171777"/>
    <w:rsid w:val="001719FB"/>
    <w:rsid w:val="00172B65"/>
    <w:rsid w:val="00172EF5"/>
    <w:rsid w:val="001732E1"/>
    <w:rsid w:val="0017486B"/>
    <w:rsid w:val="0017613E"/>
    <w:rsid w:val="00177167"/>
    <w:rsid w:val="00177753"/>
    <w:rsid w:val="00181A71"/>
    <w:rsid w:val="00182329"/>
    <w:rsid w:val="0018261B"/>
    <w:rsid w:val="001834A7"/>
    <w:rsid w:val="0018373B"/>
    <w:rsid w:val="00183C79"/>
    <w:rsid w:val="00183C8B"/>
    <w:rsid w:val="00183E75"/>
    <w:rsid w:val="001845CF"/>
    <w:rsid w:val="001865BB"/>
    <w:rsid w:val="00186EAE"/>
    <w:rsid w:val="00186F7A"/>
    <w:rsid w:val="00187518"/>
    <w:rsid w:val="00187743"/>
    <w:rsid w:val="00187F07"/>
    <w:rsid w:val="0019096C"/>
    <w:rsid w:val="00191EA7"/>
    <w:rsid w:val="00192164"/>
    <w:rsid w:val="00192883"/>
    <w:rsid w:val="00193AE9"/>
    <w:rsid w:val="00194C98"/>
    <w:rsid w:val="00194FB7"/>
    <w:rsid w:val="00195D28"/>
    <w:rsid w:val="00196B4E"/>
    <w:rsid w:val="001975A1"/>
    <w:rsid w:val="001A027A"/>
    <w:rsid w:val="001A08E4"/>
    <w:rsid w:val="001A0A6B"/>
    <w:rsid w:val="001A0D2C"/>
    <w:rsid w:val="001A12B5"/>
    <w:rsid w:val="001A1C72"/>
    <w:rsid w:val="001A3980"/>
    <w:rsid w:val="001A422B"/>
    <w:rsid w:val="001A440A"/>
    <w:rsid w:val="001A4A55"/>
    <w:rsid w:val="001A5C6F"/>
    <w:rsid w:val="001A6A4F"/>
    <w:rsid w:val="001A76B7"/>
    <w:rsid w:val="001B015C"/>
    <w:rsid w:val="001B1339"/>
    <w:rsid w:val="001B1B58"/>
    <w:rsid w:val="001B1CFC"/>
    <w:rsid w:val="001B1F55"/>
    <w:rsid w:val="001B2049"/>
    <w:rsid w:val="001B2934"/>
    <w:rsid w:val="001B4A37"/>
    <w:rsid w:val="001B5963"/>
    <w:rsid w:val="001B5CE9"/>
    <w:rsid w:val="001B6FAD"/>
    <w:rsid w:val="001C04B2"/>
    <w:rsid w:val="001C14C1"/>
    <w:rsid w:val="001C1FDE"/>
    <w:rsid w:val="001C2063"/>
    <w:rsid w:val="001C21E1"/>
    <w:rsid w:val="001C3426"/>
    <w:rsid w:val="001C4675"/>
    <w:rsid w:val="001C4768"/>
    <w:rsid w:val="001C5839"/>
    <w:rsid w:val="001C6AF6"/>
    <w:rsid w:val="001C7129"/>
    <w:rsid w:val="001C77E1"/>
    <w:rsid w:val="001C7ADA"/>
    <w:rsid w:val="001C7B48"/>
    <w:rsid w:val="001C7EA0"/>
    <w:rsid w:val="001D121D"/>
    <w:rsid w:val="001D3543"/>
    <w:rsid w:val="001D4151"/>
    <w:rsid w:val="001D58E5"/>
    <w:rsid w:val="001D7299"/>
    <w:rsid w:val="001E0FAB"/>
    <w:rsid w:val="001E2084"/>
    <w:rsid w:val="001E2502"/>
    <w:rsid w:val="001E292F"/>
    <w:rsid w:val="001E351C"/>
    <w:rsid w:val="001E474D"/>
    <w:rsid w:val="001E5194"/>
    <w:rsid w:val="001E5851"/>
    <w:rsid w:val="001E5A81"/>
    <w:rsid w:val="001E62FB"/>
    <w:rsid w:val="001E6A0B"/>
    <w:rsid w:val="001E77DA"/>
    <w:rsid w:val="001E7A2F"/>
    <w:rsid w:val="001E7AB0"/>
    <w:rsid w:val="001E7DD0"/>
    <w:rsid w:val="001F0349"/>
    <w:rsid w:val="001F077B"/>
    <w:rsid w:val="001F0B74"/>
    <w:rsid w:val="001F2648"/>
    <w:rsid w:val="001F3E37"/>
    <w:rsid w:val="001F41B9"/>
    <w:rsid w:val="001F4BE8"/>
    <w:rsid w:val="001F4EB8"/>
    <w:rsid w:val="001F560A"/>
    <w:rsid w:val="001F6270"/>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BC6"/>
    <w:rsid w:val="00210771"/>
    <w:rsid w:val="00210EE2"/>
    <w:rsid w:val="00211885"/>
    <w:rsid w:val="00212864"/>
    <w:rsid w:val="00212ADF"/>
    <w:rsid w:val="002134CF"/>
    <w:rsid w:val="00213A60"/>
    <w:rsid w:val="0021429B"/>
    <w:rsid w:val="00215699"/>
    <w:rsid w:val="002159DE"/>
    <w:rsid w:val="00215E99"/>
    <w:rsid w:val="0021667D"/>
    <w:rsid w:val="002166A1"/>
    <w:rsid w:val="002166A6"/>
    <w:rsid w:val="00216BB6"/>
    <w:rsid w:val="0022039D"/>
    <w:rsid w:val="0022048B"/>
    <w:rsid w:val="0022175C"/>
    <w:rsid w:val="00221AE9"/>
    <w:rsid w:val="00222261"/>
    <w:rsid w:val="002227DF"/>
    <w:rsid w:val="00223AC8"/>
    <w:rsid w:val="00223C96"/>
    <w:rsid w:val="00224852"/>
    <w:rsid w:val="0022634D"/>
    <w:rsid w:val="00227512"/>
    <w:rsid w:val="0022766E"/>
    <w:rsid w:val="0022777A"/>
    <w:rsid w:val="002278D5"/>
    <w:rsid w:val="00227C13"/>
    <w:rsid w:val="00227D49"/>
    <w:rsid w:val="00227FC7"/>
    <w:rsid w:val="0023110A"/>
    <w:rsid w:val="00233A54"/>
    <w:rsid w:val="00234440"/>
    <w:rsid w:val="002347C9"/>
    <w:rsid w:val="00236E72"/>
    <w:rsid w:val="0023738E"/>
    <w:rsid w:val="002411BD"/>
    <w:rsid w:val="00242ED3"/>
    <w:rsid w:val="00244711"/>
    <w:rsid w:val="00244AE4"/>
    <w:rsid w:val="00245EBE"/>
    <w:rsid w:val="002472C1"/>
    <w:rsid w:val="002473F4"/>
    <w:rsid w:val="00247D64"/>
    <w:rsid w:val="00250EA1"/>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2CD"/>
    <w:rsid w:val="00270B4E"/>
    <w:rsid w:val="00271500"/>
    <w:rsid w:val="00272E57"/>
    <w:rsid w:val="00274663"/>
    <w:rsid w:val="00275641"/>
    <w:rsid w:val="0027569A"/>
    <w:rsid w:val="002767D9"/>
    <w:rsid w:val="00280382"/>
    <w:rsid w:val="00280F4B"/>
    <w:rsid w:val="002816D0"/>
    <w:rsid w:val="002821E9"/>
    <w:rsid w:val="002827D2"/>
    <w:rsid w:val="002835B7"/>
    <w:rsid w:val="00284C1F"/>
    <w:rsid w:val="002851AF"/>
    <w:rsid w:val="00285866"/>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4E9"/>
    <w:rsid w:val="002B660D"/>
    <w:rsid w:val="002B7969"/>
    <w:rsid w:val="002C0031"/>
    <w:rsid w:val="002C0485"/>
    <w:rsid w:val="002C0762"/>
    <w:rsid w:val="002C257A"/>
    <w:rsid w:val="002C2BEC"/>
    <w:rsid w:val="002C30C0"/>
    <w:rsid w:val="002C4F4B"/>
    <w:rsid w:val="002C5233"/>
    <w:rsid w:val="002C6EC0"/>
    <w:rsid w:val="002C7258"/>
    <w:rsid w:val="002D0189"/>
    <w:rsid w:val="002D0356"/>
    <w:rsid w:val="002D07C0"/>
    <w:rsid w:val="002D0F98"/>
    <w:rsid w:val="002D1DFB"/>
    <w:rsid w:val="002D45BF"/>
    <w:rsid w:val="002D4A85"/>
    <w:rsid w:val="002D6162"/>
    <w:rsid w:val="002D64DF"/>
    <w:rsid w:val="002D750A"/>
    <w:rsid w:val="002E242E"/>
    <w:rsid w:val="002E2FEC"/>
    <w:rsid w:val="002E38DB"/>
    <w:rsid w:val="002E3BEB"/>
    <w:rsid w:val="002E441D"/>
    <w:rsid w:val="002E4AB1"/>
    <w:rsid w:val="002E4F11"/>
    <w:rsid w:val="002E4F8A"/>
    <w:rsid w:val="002E505D"/>
    <w:rsid w:val="002E6F69"/>
    <w:rsid w:val="002E7296"/>
    <w:rsid w:val="002E73B8"/>
    <w:rsid w:val="002F0545"/>
    <w:rsid w:val="002F0823"/>
    <w:rsid w:val="002F2471"/>
    <w:rsid w:val="002F2B7A"/>
    <w:rsid w:val="002F3105"/>
    <w:rsid w:val="002F59F2"/>
    <w:rsid w:val="002F5E6C"/>
    <w:rsid w:val="002F72FF"/>
    <w:rsid w:val="00300BF3"/>
    <w:rsid w:val="0030143F"/>
    <w:rsid w:val="00301A2B"/>
    <w:rsid w:val="00301BCD"/>
    <w:rsid w:val="00302988"/>
    <w:rsid w:val="00303ACF"/>
    <w:rsid w:val="0030463E"/>
    <w:rsid w:val="00304ED6"/>
    <w:rsid w:val="00305977"/>
    <w:rsid w:val="00306654"/>
    <w:rsid w:val="00306D5D"/>
    <w:rsid w:val="00306FF4"/>
    <w:rsid w:val="00310EE1"/>
    <w:rsid w:val="003122B0"/>
    <w:rsid w:val="00312390"/>
    <w:rsid w:val="003123F4"/>
    <w:rsid w:val="00313487"/>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7BA"/>
    <w:rsid w:val="00324A1D"/>
    <w:rsid w:val="00324C55"/>
    <w:rsid w:val="003250B4"/>
    <w:rsid w:val="00325742"/>
    <w:rsid w:val="00327224"/>
    <w:rsid w:val="00327AB3"/>
    <w:rsid w:val="00327F9E"/>
    <w:rsid w:val="00330527"/>
    <w:rsid w:val="00330C9F"/>
    <w:rsid w:val="003318A6"/>
    <w:rsid w:val="003321A8"/>
    <w:rsid w:val="00332EB1"/>
    <w:rsid w:val="00333E63"/>
    <w:rsid w:val="00334044"/>
    <w:rsid w:val="00334CB0"/>
    <w:rsid w:val="00335188"/>
    <w:rsid w:val="00335234"/>
    <w:rsid w:val="003373B8"/>
    <w:rsid w:val="003413F4"/>
    <w:rsid w:val="00342DC1"/>
    <w:rsid w:val="00342EF7"/>
    <w:rsid w:val="003432B6"/>
    <w:rsid w:val="003434E9"/>
    <w:rsid w:val="00343F41"/>
    <w:rsid w:val="00344BF3"/>
    <w:rsid w:val="00345CC1"/>
    <w:rsid w:val="00345EA7"/>
    <w:rsid w:val="0034652C"/>
    <w:rsid w:val="00346606"/>
    <w:rsid w:val="00346E73"/>
    <w:rsid w:val="00346F27"/>
    <w:rsid w:val="0035067B"/>
    <w:rsid w:val="00350681"/>
    <w:rsid w:val="00350B6E"/>
    <w:rsid w:val="00351A4A"/>
    <w:rsid w:val="00351D95"/>
    <w:rsid w:val="00351FB4"/>
    <w:rsid w:val="00353860"/>
    <w:rsid w:val="00354CD9"/>
    <w:rsid w:val="003556C1"/>
    <w:rsid w:val="00355EEE"/>
    <w:rsid w:val="00356FC1"/>
    <w:rsid w:val="00357883"/>
    <w:rsid w:val="00360494"/>
    <w:rsid w:val="00360C00"/>
    <w:rsid w:val="00361243"/>
    <w:rsid w:val="00361633"/>
    <w:rsid w:val="00361935"/>
    <w:rsid w:val="003626AE"/>
    <w:rsid w:val="0036292A"/>
    <w:rsid w:val="00362AF3"/>
    <w:rsid w:val="0036467D"/>
    <w:rsid w:val="00364BEE"/>
    <w:rsid w:val="0036508D"/>
    <w:rsid w:val="003651C8"/>
    <w:rsid w:val="00366321"/>
    <w:rsid w:val="00366419"/>
    <w:rsid w:val="003669F1"/>
    <w:rsid w:val="00366F10"/>
    <w:rsid w:val="003700A3"/>
    <w:rsid w:val="00370B40"/>
    <w:rsid w:val="00371A92"/>
    <w:rsid w:val="00371C15"/>
    <w:rsid w:val="00372CDF"/>
    <w:rsid w:val="00373411"/>
    <w:rsid w:val="00373D40"/>
    <w:rsid w:val="003741F6"/>
    <w:rsid w:val="00374A29"/>
    <w:rsid w:val="00374FA4"/>
    <w:rsid w:val="003756C6"/>
    <w:rsid w:val="00376E35"/>
    <w:rsid w:val="003773AC"/>
    <w:rsid w:val="00377F6C"/>
    <w:rsid w:val="00380094"/>
    <w:rsid w:val="00380256"/>
    <w:rsid w:val="0038165D"/>
    <w:rsid w:val="00383071"/>
    <w:rsid w:val="00383189"/>
    <w:rsid w:val="00385175"/>
    <w:rsid w:val="00385444"/>
    <w:rsid w:val="00385F39"/>
    <w:rsid w:val="00386070"/>
    <w:rsid w:val="00387DCF"/>
    <w:rsid w:val="00390006"/>
    <w:rsid w:val="003900A5"/>
    <w:rsid w:val="0039012D"/>
    <w:rsid w:val="003917AD"/>
    <w:rsid w:val="003917D1"/>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11D"/>
    <w:rsid w:val="003A0DC3"/>
    <w:rsid w:val="003A1675"/>
    <w:rsid w:val="003A1CA9"/>
    <w:rsid w:val="003A1CF5"/>
    <w:rsid w:val="003A2812"/>
    <w:rsid w:val="003A2D0C"/>
    <w:rsid w:val="003A3304"/>
    <w:rsid w:val="003A3551"/>
    <w:rsid w:val="003A38F0"/>
    <w:rsid w:val="003A443D"/>
    <w:rsid w:val="003A4DB8"/>
    <w:rsid w:val="003A4DE4"/>
    <w:rsid w:val="003A6A5A"/>
    <w:rsid w:val="003A72E9"/>
    <w:rsid w:val="003B175A"/>
    <w:rsid w:val="003B3231"/>
    <w:rsid w:val="003B357A"/>
    <w:rsid w:val="003B499C"/>
    <w:rsid w:val="003B4CCD"/>
    <w:rsid w:val="003B53D4"/>
    <w:rsid w:val="003B56D7"/>
    <w:rsid w:val="003B57AD"/>
    <w:rsid w:val="003B7298"/>
    <w:rsid w:val="003C0FF8"/>
    <w:rsid w:val="003C1D0C"/>
    <w:rsid w:val="003C1F2E"/>
    <w:rsid w:val="003C42A3"/>
    <w:rsid w:val="003C49D5"/>
    <w:rsid w:val="003C4FD5"/>
    <w:rsid w:val="003C582B"/>
    <w:rsid w:val="003C6BFF"/>
    <w:rsid w:val="003C7930"/>
    <w:rsid w:val="003C796C"/>
    <w:rsid w:val="003D2333"/>
    <w:rsid w:val="003D2E1B"/>
    <w:rsid w:val="003D3241"/>
    <w:rsid w:val="003D39AE"/>
    <w:rsid w:val="003D4804"/>
    <w:rsid w:val="003D5413"/>
    <w:rsid w:val="003D7685"/>
    <w:rsid w:val="003D7E9A"/>
    <w:rsid w:val="003E0366"/>
    <w:rsid w:val="003E100C"/>
    <w:rsid w:val="003E1C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C9D"/>
    <w:rsid w:val="003F5D2C"/>
    <w:rsid w:val="003F7679"/>
    <w:rsid w:val="00400C13"/>
    <w:rsid w:val="00401F48"/>
    <w:rsid w:val="00402311"/>
    <w:rsid w:val="0040239F"/>
    <w:rsid w:val="00402C97"/>
    <w:rsid w:val="00403364"/>
    <w:rsid w:val="0040415C"/>
    <w:rsid w:val="00404AA4"/>
    <w:rsid w:val="00404AF1"/>
    <w:rsid w:val="00404C61"/>
    <w:rsid w:val="004050C9"/>
    <w:rsid w:val="004051F0"/>
    <w:rsid w:val="00405C04"/>
    <w:rsid w:val="00406314"/>
    <w:rsid w:val="00406376"/>
    <w:rsid w:val="00406896"/>
    <w:rsid w:val="00411B37"/>
    <w:rsid w:val="0041244F"/>
    <w:rsid w:val="004125ED"/>
    <w:rsid w:val="0041353D"/>
    <w:rsid w:val="00413B39"/>
    <w:rsid w:val="0041450E"/>
    <w:rsid w:val="0041456E"/>
    <w:rsid w:val="00415370"/>
    <w:rsid w:val="00415781"/>
    <w:rsid w:val="00415846"/>
    <w:rsid w:val="00416485"/>
    <w:rsid w:val="00416F40"/>
    <w:rsid w:val="00417769"/>
    <w:rsid w:val="00417F0D"/>
    <w:rsid w:val="00420765"/>
    <w:rsid w:val="00421EF2"/>
    <w:rsid w:val="00422668"/>
    <w:rsid w:val="0042482B"/>
    <w:rsid w:val="00424946"/>
    <w:rsid w:val="0042602D"/>
    <w:rsid w:val="004261DA"/>
    <w:rsid w:val="00427004"/>
    <w:rsid w:val="00427438"/>
    <w:rsid w:val="00431540"/>
    <w:rsid w:val="00431AC1"/>
    <w:rsid w:val="00431DE1"/>
    <w:rsid w:val="004329C9"/>
    <w:rsid w:val="00432CD5"/>
    <w:rsid w:val="00432EF0"/>
    <w:rsid w:val="00433CDB"/>
    <w:rsid w:val="00434999"/>
    <w:rsid w:val="00435D29"/>
    <w:rsid w:val="004363FA"/>
    <w:rsid w:val="004364CC"/>
    <w:rsid w:val="00437141"/>
    <w:rsid w:val="004405B0"/>
    <w:rsid w:val="00440853"/>
    <w:rsid w:val="00441905"/>
    <w:rsid w:val="00441FF9"/>
    <w:rsid w:val="0044382F"/>
    <w:rsid w:val="00443B96"/>
    <w:rsid w:val="00443E1D"/>
    <w:rsid w:val="004442EB"/>
    <w:rsid w:val="00444FA3"/>
    <w:rsid w:val="004459DC"/>
    <w:rsid w:val="00445D15"/>
    <w:rsid w:val="00446553"/>
    <w:rsid w:val="00446A92"/>
    <w:rsid w:val="004501B4"/>
    <w:rsid w:val="0045082F"/>
    <w:rsid w:val="00450C00"/>
    <w:rsid w:val="0045135E"/>
    <w:rsid w:val="00452434"/>
    <w:rsid w:val="00452C53"/>
    <w:rsid w:val="004539C7"/>
    <w:rsid w:val="00454597"/>
    <w:rsid w:val="004548E6"/>
    <w:rsid w:val="0045543A"/>
    <w:rsid w:val="0045543C"/>
    <w:rsid w:val="004556FB"/>
    <w:rsid w:val="00455880"/>
    <w:rsid w:val="00455BEC"/>
    <w:rsid w:val="004561F9"/>
    <w:rsid w:val="0045637C"/>
    <w:rsid w:val="004563C4"/>
    <w:rsid w:val="004569A3"/>
    <w:rsid w:val="0045703B"/>
    <w:rsid w:val="004578ED"/>
    <w:rsid w:val="00457EFC"/>
    <w:rsid w:val="0046064C"/>
    <w:rsid w:val="004611B6"/>
    <w:rsid w:val="00461997"/>
    <w:rsid w:val="00463F8B"/>
    <w:rsid w:val="004644C2"/>
    <w:rsid w:val="004649AD"/>
    <w:rsid w:val="004650E7"/>
    <w:rsid w:val="0046687B"/>
    <w:rsid w:val="00466CB4"/>
    <w:rsid w:val="004701F0"/>
    <w:rsid w:val="00470418"/>
    <w:rsid w:val="004704EA"/>
    <w:rsid w:val="0047071D"/>
    <w:rsid w:val="004720F6"/>
    <w:rsid w:val="004727C4"/>
    <w:rsid w:val="00472F62"/>
    <w:rsid w:val="00473579"/>
    <w:rsid w:val="00473E50"/>
    <w:rsid w:val="0047430A"/>
    <w:rsid w:val="00474E5A"/>
    <w:rsid w:val="0047558F"/>
    <w:rsid w:val="00475FD5"/>
    <w:rsid w:val="00476FED"/>
    <w:rsid w:val="0047725A"/>
    <w:rsid w:val="004812F4"/>
    <w:rsid w:val="0048231B"/>
    <w:rsid w:val="004838D4"/>
    <w:rsid w:val="004845AC"/>
    <w:rsid w:val="00484C31"/>
    <w:rsid w:val="00485E3C"/>
    <w:rsid w:val="00486F09"/>
    <w:rsid w:val="004877FB"/>
    <w:rsid w:val="004906DB"/>
    <w:rsid w:val="00490C0F"/>
    <w:rsid w:val="00491FF2"/>
    <w:rsid w:val="004925EE"/>
    <w:rsid w:val="00492735"/>
    <w:rsid w:val="00493926"/>
    <w:rsid w:val="004945E8"/>
    <w:rsid w:val="00494FC9"/>
    <w:rsid w:val="00495228"/>
    <w:rsid w:val="004963B6"/>
    <w:rsid w:val="004A1AB1"/>
    <w:rsid w:val="004A2013"/>
    <w:rsid w:val="004A201B"/>
    <w:rsid w:val="004A2B7A"/>
    <w:rsid w:val="004A3EB3"/>
    <w:rsid w:val="004A4377"/>
    <w:rsid w:val="004A57EB"/>
    <w:rsid w:val="004A5824"/>
    <w:rsid w:val="004A59D3"/>
    <w:rsid w:val="004A6156"/>
    <w:rsid w:val="004A6D7C"/>
    <w:rsid w:val="004A6F11"/>
    <w:rsid w:val="004A74DD"/>
    <w:rsid w:val="004B00D1"/>
    <w:rsid w:val="004B0AC8"/>
    <w:rsid w:val="004B0B57"/>
    <w:rsid w:val="004B0BBE"/>
    <w:rsid w:val="004B0EB0"/>
    <w:rsid w:val="004B1246"/>
    <w:rsid w:val="004B1340"/>
    <w:rsid w:val="004B1CAB"/>
    <w:rsid w:val="004B2FF9"/>
    <w:rsid w:val="004B3506"/>
    <w:rsid w:val="004B36ED"/>
    <w:rsid w:val="004B40DB"/>
    <w:rsid w:val="004B4EF6"/>
    <w:rsid w:val="004B612E"/>
    <w:rsid w:val="004B623B"/>
    <w:rsid w:val="004B6554"/>
    <w:rsid w:val="004B6B22"/>
    <w:rsid w:val="004B6C50"/>
    <w:rsid w:val="004C0DA0"/>
    <w:rsid w:val="004C3E02"/>
    <w:rsid w:val="004C422D"/>
    <w:rsid w:val="004C440E"/>
    <w:rsid w:val="004C4CEB"/>
    <w:rsid w:val="004C5CBA"/>
    <w:rsid w:val="004C64D8"/>
    <w:rsid w:val="004C64F7"/>
    <w:rsid w:val="004C6C09"/>
    <w:rsid w:val="004C6EA3"/>
    <w:rsid w:val="004C7BCD"/>
    <w:rsid w:val="004C7E03"/>
    <w:rsid w:val="004D000F"/>
    <w:rsid w:val="004D055D"/>
    <w:rsid w:val="004D1240"/>
    <w:rsid w:val="004D12F6"/>
    <w:rsid w:val="004D1946"/>
    <w:rsid w:val="004D32ED"/>
    <w:rsid w:val="004D3E71"/>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191"/>
    <w:rsid w:val="004E6707"/>
    <w:rsid w:val="004E6B8E"/>
    <w:rsid w:val="004F0543"/>
    <w:rsid w:val="004F0D33"/>
    <w:rsid w:val="004F2385"/>
    <w:rsid w:val="004F246C"/>
    <w:rsid w:val="004F3A97"/>
    <w:rsid w:val="004F5591"/>
    <w:rsid w:val="004F5D14"/>
    <w:rsid w:val="004F68DC"/>
    <w:rsid w:val="004F7F44"/>
    <w:rsid w:val="00500598"/>
    <w:rsid w:val="00500F7A"/>
    <w:rsid w:val="005012AD"/>
    <w:rsid w:val="005016E5"/>
    <w:rsid w:val="00501A56"/>
    <w:rsid w:val="00501B75"/>
    <w:rsid w:val="00502317"/>
    <w:rsid w:val="005027BB"/>
    <w:rsid w:val="00503415"/>
    <w:rsid w:val="005034C1"/>
    <w:rsid w:val="005037E1"/>
    <w:rsid w:val="00503B5C"/>
    <w:rsid w:val="0050456A"/>
    <w:rsid w:val="00505C46"/>
    <w:rsid w:val="005068E1"/>
    <w:rsid w:val="005070B6"/>
    <w:rsid w:val="005077C5"/>
    <w:rsid w:val="00510111"/>
    <w:rsid w:val="00510B80"/>
    <w:rsid w:val="0051168A"/>
    <w:rsid w:val="005117D2"/>
    <w:rsid w:val="005118A6"/>
    <w:rsid w:val="005122F4"/>
    <w:rsid w:val="0051405F"/>
    <w:rsid w:val="0051444F"/>
    <w:rsid w:val="005156A6"/>
    <w:rsid w:val="00516393"/>
    <w:rsid w:val="00516669"/>
    <w:rsid w:val="005179A5"/>
    <w:rsid w:val="00520B4F"/>
    <w:rsid w:val="005231D3"/>
    <w:rsid w:val="00524AD7"/>
    <w:rsid w:val="005254FD"/>
    <w:rsid w:val="005268A9"/>
    <w:rsid w:val="0052720F"/>
    <w:rsid w:val="00527421"/>
    <w:rsid w:val="005275C4"/>
    <w:rsid w:val="00527D36"/>
    <w:rsid w:val="00531076"/>
    <w:rsid w:val="00531D28"/>
    <w:rsid w:val="005328A8"/>
    <w:rsid w:val="005338EE"/>
    <w:rsid w:val="00533920"/>
    <w:rsid w:val="00535141"/>
    <w:rsid w:val="005351D9"/>
    <w:rsid w:val="00535324"/>
    <w:rsid w:val="00535504"/>
    <w:rsid w:val="005363B4"/>
    <w:rsid w:val="0053712D"/>
    <w:rsid w:val="005403F4"/>
    <w:rsid w:val="00540B60"/>
    <w:rsid w:val="00541076"/>
    <w:rsid w:val="00541136"/>
    <w:rsid w:val="0054216F"/>
    <w:rsid w:val="00542F18"/>
    <w:rsid w:val="0054343C"/>
    <w:rsid w:val="00544853"/>
    <w:rsid w:val="00544CA5"/>
    <w:rsid w:val="005450E2"/>
    <w:rsid w:val="00545B19"/>
    <w:rsid w:val="00545EE8"/>
    <w:rsid w:val="00547404"/>
    <w:rsid w:val="005474A2"/>
    <w:rsid w:val="00547520"/>
    <w:rsid w:val="0055035F"/>
    <w:rsid w:val="005507FD"/>
    <w:rsid w:val="005511C0"/>
    <w:rsid w:val="00551D4B"/>
    <w:rsid w:val="00551E3C"/>
    <w:rsid w:val="0055232C"/>
    <w:rsid w:val="0055278E"/>
    <w:rsid w:val="00555488"/>
    <w:rsid w:val="0055549A"/>
    <w:rsid w:val="00555B18"/>
    <w:rsid w:val="00555C9C"/>
    <w:rsid w:val="00556A4D"/>
    <w:rsid w:val="00557319"/>
    <w:rsid w:val="0055764E"/>
    <w:rsid w:val="00560528"/>
    <w:rsid w:val="00560699"/>
    <w:rsid w:val="00561503"/>
    <w:rsid w:val="00561923"/>
    <w:rsid w:val="005622F8"/>
    <w:rsid w:val="0056310A"/>
    <w:rsid w:val="0056336F"/>
    <w:rsid w:val="00565AF7"/>
    <w:rsid w:val="00566024"/>
    <w:rsid w:val="005671C3"/>
    <w:rsid w:val="0057060C"/>
    <w:rsid w:val="0057189C"/>
    <w:rsid w:val="00571BD2"/>
    <w:rsid w:val="00571CD7"/>
    <w:rsid w:val="00571D59"/>
    <w:rsid w:val="00572E3E"/>
    <w:rsid w:val="0057332B"/>
    <w:rsid w:val="0057364D"/>
    <w:rsid w:val="005737FC"/>
    <w:rsid w:val="0057420B"/>
    <w:rsid w:val="005746CF"/>
    <w:rsid w:val="0057593B"/>
    <w:rsid w:val="005762CE"/>
    <w:rsid w:val="00580280"/>
    <w:rsid w:val="00580B9E"/>
    <w:rsid w:val="00580DAB"/>
    <w:rsid w:val="0058135A"/>
    <w:rsid w:val="005817D9"/>
    <w:rsid w:val="00581F7C"/>
    <w:rsid w:val="00583358"/>
    <w:rsid w:val="005839BF"/>
    <w:rsid w:val="00584058"/>
    <w:rsid w:val="005844A5"/>
    <w:rsid w:val="005846B4"/>
    <w:rsid w:val="005850E5"/>
    <w:rsid w:val="005851E0"/>
    <w:rsid w:val="00585571"/>
    <w:rsid w:val="005856F9"/>
    <w:rsid w:val="00585B91"/>
    <w:rsid w:val="005862B8"/>
    <w:rsid w:val="00586BB0"/>
    <w:rsid w:val="00586BF1"/>
    <w:rsid w:val="00587412"/>
    <w:rsid w:val="00587DC4"/>
    <w:rsid w:val="0059008F"/>
    <w:rsid w:val="005903E4"/>
    <w:rsid w:val="005907D5"/>
    <w:rsid w:val="005910C0"/>
    <w:rsid w:val="005913EE"/>
    <w:rsid w:val="00592461"/>
    <w:rsid w:val="005950D6"/>
    <w:rsid w:val="0059519C"/>
    <w:rsid w:val="00595524"/>
    <w:rsid w:val="005974F3"/>
    <w:rsid w:val="0059751C"/>
    <w:rsid w:val="00597919"/>
    <w:rsid w:val="005A0B9F"/>
    <w:rsid w:val="005A0EFC"/>
    <w:rsid w:val="005A44E7"/>
    <w:rsid w:val="005A5D8E"/>
    <w:rsid w:val="005A63D8"/>
    <w:rsid w:val="005A7420"/>
    <w:rsid w:val="005A7C14"/>
    <w:rsid w:val="005A7DBE"/>
    <w:rsid w:val="005B152C"/>
    <w:rsid w:val="005B1C64"/>
    <w:rsid w:val="005B1DE8"/>
    <w:rsid w:val="005B2294"/>
    <w:rsid w:val="005B271E"/>
    <w:rsid w:val="005B2807"/>
    <w:rsid w:val="005B3606"/>
    <w:rsid w:val="005B388D"/>
    <w:rsid w:val="005B3E08"/>
    <w:rsid w:val="005B49B6"/>
    <w:rsid w:val="005B56EE"/>
    <w:rsid w:val="005B63E1"/>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C6E71"/>
    <w:rsid w:val="005C7363"/>
    <w:rsid w:val="005D0B55"/>
    <w:rsid w:val="005D46FC"/>
    <w:rsid w:val="005D4A04"/>
    <w:rsid w:val="005D4CF7"/>
    <w:rsid w:val="005D5347"/>
    <w:rsid w:val="005D5CC5"/>
    <w:rsid w:val="005D5FE6"/>
    <w:rsid w:val="005D61EA"/>
    <w:rsid w:val="005D74D8"/>
    <w:rsid w:val="005D787B"/>
    <w:rsid w:val="005E031D"/>
    <w:rsid w:val="005E03AC"/>
    <w:rsid w:val="005E04B5"/>
    <w:rsid w:val="005E0621"/>
    <w:rsid w:val="005E12BE"/>
    <w:rsid w:val="005E27AD"/>
    <w:rsid w:val="005E2C81"/>
    <w:rsid w:val="005E4D3C"/>
    <w:rsid w:val="005E7158"/>
    <w:rsid w:val="005E7ECB"/>
    <w:rsid w:val="005F0C00"/>
    <w:rsid w:val="005F1037"/>
    <w:rsid w:val="005F2BF8"/>
    <w:rsid w:val="005F2EA8"/>
    <w:rsid w:val="005F3094"/>
    <w:rsid w:val="005F3B04"/>
    <w:rsid w:val="005F5574"/>
    <w:rsid w:val="005F5D1D"/>
    <w:rsid w:val="005F60C9"/>
    <w:rsid w:val="005F64C6"/>
    <w:rsid w:val="006008F1"/>
    <w:rsid w:val="00601714"/>
    <w:rsid w:val="00601735"/>
    <w:rsid w:val="00602BD2"/>
    <w:rsid w:val="00604980"/>
    <w:rsid w:val="0060614D"/>
    <w:rsid w:val="00610871"/>
    <w:rsid w:val="00610E48"/>
    <w:rsid w:val="00610FE0"/>
    <w:rsid w:val="00613C47"/>
    <w:rsid w:val="00614176"/>
    <w:rsid w:val="00615086"/>
    <w:rsid w:val="00616201"/>
    <w:rsid w:val="00616225"/>
    <w:rsid w:val="00616BA2"/>
    <w:rsid w:val="0061705E"/>
    <w:rsid w:val="00617914"/>
    <w:rsid w:val="00617A8B"/>
    <w:rsid w:val="00621904"/>
    <w:rsid w:val="00622248"/>
    <w:rsid w:val="00622FEA"/>
    <w:rsid w:val="00623CDF"/>
    <w:rsid w:val="00623DB1"/>
    <w:rsid w:val="006245F3"/>
    <w:rsid w:val="0062485E"/>
    <w:rsid w:val="00624DBE"/>
    <w:rsid w:val="00625450"/>
    <w:rsid w:val="0062557A"/>
    <w:rsid w:val="0062624F"/>
    <w:rsid w:val="006319CA"/>
    <w:rsid w:val="00632A6C"/>
    <w:rsid w:val="00633B3E"/>
    <w:rsid w:val="00634EC0"/>
    <w:rsid w:val="0063627F"/>
    <w:rsid w:val="00636969"/>
    <w:rsid w:val="006376C4"/>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5104"/>
    <w:rsid w:val="00656067"/>
    <w:rsid w:val="00660693"/>
    <w:rsid w:val="006611D6"/>
    <w:rsid w:val="0066127B"/>
    <w:rsid w:val="00661402"/>
    <w:rsid w:val="00661918"/>
    <w:rsid w:val="00662A5A"/>
    <w:rsid w:val="006636D0"/>
    <w:rsid w:val="00663834"/>
    <w:rsid w:val="00663BF1"/>
    <w:rsid w:val="006647D7"/>
    <w:rsid w:val="00664F1B"/>
    <w:rsid w:val="006653D7"/>
    <w:rsid w:val="00665BFF"/>
    <w:rsid w:val="006665BA"/>
    <w:rsid w:val="006668A8"/>
    <w:rsid w:val="00666A4F"/>
    <w:rsid w:val="00667477"/>
    <w:rsid w:val="006703D9"/>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126"/>
    <w:rsid w:val="00683993"/>
    <w:rsid w:val="006846E8"/>
    <w:rsid w:val="00684E79"/>
    <w:rsid w:val="00685EBD"/>
    <w:rsid w:val="006861C3"/>
    <w:rsid w:val="00686AF3"/>
    <w:rsid w:val="00690F1F"/>
    <w:rsid w:val="006915BD"/>
    <w:rsid w:val="006915F2"/>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7EB"/>
    <w:rsid w:val="006A4AEE"/>
    <w:rsid w:val="006A5E74"/>
    <w:rsid w:val="006A6184"/>
    <w:rsid w:val="006A70BE"/>
    <w:rsid w:val="006A7290"/>
    <w:rsid w:val="006A7934"/>
    <w:rsid w:val="006A7BC8"/>
    <w:rsid w:val="006B0001"/>
    <w:rsid w:val="006B054B"/>
    <w:rsid w:val="006B059F"/>
    <w:rsid w:val="006B0E3A"/>
    <w:rsid w:val="006B2048"/>
    <w:rsid w:val="006B215A"/>
    <w:rsid w:val="006B2AD6"/>
    <w:rsid w:val="006B342E"/>
    <w:rsid w:val="006B3812"/>
    <w:rsid w:val="006B3B80"/>
    <w:rsid w:val="006B6EF0"/>
    <w:rsid w:val="006B6F32"/>
    <w:rsid w:val="006B7130"/>
    <w:rsid w:val="006B73CC"/>
    <w:rsid w:val="006B7695"/>
    <w:rsid w:val="006B76B9"/>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C0D"/>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D76CB"/>
    <w:rsid w:val="006E0455"/>
    <w:rsid w:val="006E4238"/>
    <w:rsid w:val="006E4551"/>
    <w:rsid w:val="006E5F01"/>
    <w:rsid w:val="006E7033"/>
    <w:rsid w:val="006E7404"/>
    <w:rsid w:val="006E7B97"/>
    <w:rsid w:val="006F05B9"/>
    <w:rsid w:val="006F1972"/>
    <w:rsid w:val="006F1EA3"/>
    <w:rsid w:val="006F2627"/>
    <w:rsid w:val="006F2A57"/>
    <w:rsid w:val="006F3187"/>
    <w:rsid w:val="006F34B9"/>
    <w:rsid w:val="006F3568"/>
    <w:rsid w:val="006F40AD"/>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01D7"/>
    <w:rsid w:val="007110E1"/>
    <w:rsid w:val="00711B18"/>
    <w:rsid w:val="007126D1"/>
    <w:rsid w:val="00714394"/>
    <w:rsid w:val="00714C87"/>
    <w:rsid w:val="00714ED6"/>
    <w:rsid w:val="00715E8D"/>
    <w:rsid w:val="00721C26"/>
    <w:rsid w:val="00721F7E"/>
    <w:rsid w:val="00722E29"/>
    <w:rsid w:val="00723ECB"/>
    <w:rsid w:val="00724606"/>
    <w:rsid w:val="00724A36"/>
    <w:rsid w:val="00724A60"/>
    <w:rsid w:val="00724E85"/>
    <w:rsid w:val="0072525D"/>
    <w:rsid w:val="00726E58"/>
    <w:rsid w:val="00726E8A"/>
    <w:rsid w:val="00727047"/>
    <w:rsid w:val="00727A0E"/>
    <w:rsid w:val="00727C81"/>
    <w:rsid w:val="00730B33"/>
    <w:rsid w:val="00734462"/>
    <w:rsid w:val="00734510"/>
    <w:rsid w:val="00734887"/>
    <w:rsid w:val="007365B6"/>
    <w:rsid w:val="00737394"/>
    <w:rsid w:val="007401E2"/>
    <w:rsid w:val="00740205"/>
    <w:rsid w:val="00740217"/>
    <w:rsid w:val="007411E5"/>
    <w:rsid w:val="00741605"/>
    <w:rsid w:val="00742788"/>
    <w:rsid w:val="007436F2"/>
    <w:rsid w:val="00743B2E"/>
    <w:rsid w:val="0074436D"/>
    <w:rsid w:val="00746951"/>
    <w:rsid w:val="00746F65"/>
    <w:rsid w:val="007472C3"/>
    <w:rsid w:val="0074791E"/>
    <w:rsid w:val="00750948"/>
    <w:rsid w:val="00750A23"/>
    <w:rsid w:val="0075115D"/>
    <w:rsid w:val="00751A33"/>
    <w:rsid w:val="00753890"/>
    <w:rsid w:val="0075466D"/>
    <w:rsid w:val="007555DF"/>
    <w:rsid w:val="007569DC"/>
    <w:rsid w:val="0075711E"/>
    <w:rsid w:val="00757549"/>
    <w:rsid w:val="007579F2"/>
    <w:rsid w:val="00761434"/>
    <w:rsid w:val="00761FD5"/>
    <w:rsid w:val="00762BB6"/>
    <w:rsid w:val="0076341D"/>
    <w:rsid w:val="0076446D"/>
    <w:rsid w:val="007647EF"/>
    <w:rsid w:val="00765DD8"/>
    <w:rsid w:val="00766230"/>
    <w:rsid w:val="00766B33"/>
    <w:rsid w:val="00766D36"/>
    <w:rsid w:val="00767607"/>
    <w:rsid w:val="00767ACD"/>
    <w:rsid w:val="007705B5"/>
    <w:rsid w:val="0077270D"/>
    <w:rsid w:val="00773874"/>
    <w:rsid w:val="0077393B"/>
    <w:rsid w:val="00775D3B"/>
    <w:rsid w:val="0077615A"/>
    <w:rsid w:val="007806A0"/>
    <w:rsid w:val="00782346"/>
    <w:rsid w:val="007838CD"/>
    <w:rsid w:val="007839A9"/>
    <w:rsid w:val="007840F3"/>
    <w:rsid w:val="007849BE"/>
    <w:rsid w:val="00785491"/>
    <w:rsid w:val="007858C0"/>
    <w:rsid w:val="0078679A"/>
    <w:rsid w:val="00786BDC"/>
    <w:rsid w:val="007871FE"/>
    <w:rsid w:val="00787C89"/>
    <w:rsid w:val="007908ED"/>
    <w:rsid w:val="00790F74"/>
    <w:rsid w:val="00792014"/>
    <w:rsid w:val="007921CD"/>
    <w:rsid w:val="00792288"/>
    <w:rsid w:val="00792447"/>
    <w:rsid w:val="007928C6"/>
    <w:rsid w:val="00792E73"/>
    <w:rsid w:val="0079694C"/>
    <w:rsid w:val="007A0187"/>
    <w:rsid w:val="007A19AC"/>
    <w:rsid w:val="007A268F"/>
    <w:rsid w:val="007A29EC"/>
    <w:rsid w:val="007A31E2"/>
    <w:rsid w:val="007A4A53"/>
    <w:rsid w:val="007A4C93"/>
    <w:rsid w:val="007A4E17"/>
    <w:rsid w:val="007A7F6D"/>
    <w:rsid w:val="007B0FBD"/>
    <w:rsid w:val="007B10EC"/>
    <w:rsid w:val="007B1BAF"/>
    <w:rsid w:val="007B20C3"/>
    <w:rsid w:val="007B2FE8"/>
    <w:rsid w:val="007B35F7"/>
    <w:rsid w:val="007B3D39"/>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2335"/>
    <w:rsid w:val="007D358B"/>
    <w:rsid w:val="007D370E"/>
    <w:rsid w:val="007D4624"/>
    <w:rsid w:val="007D4A8F"/>
    <w:rsid w:val="007D563E"/>
    <w:rsid w:val="007D5A49"/>
    <w:rsid w:val="007D5FC1"/>
    <w:rsid w:val="007D6EB6"/>
    <w:rsid w:val="007D715A"/>
    <w:rsid w:val="007D76EE"/>
    <w:rsid w:val="007E002B"/>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9FD"/>
    <w:rsid w:val="00806A84"/>
    <w:rsid w:val="008073A4"/>
    <w:rsid w:val="00807C6C"/>
    <w:rsid w:val="008115ED"/>
    <w:rsid w:val="0081254B"/>
    <w:rsid w:val="0081288C"/>
    <w:rsid w:val="0081340B"/>
    <w:rsid w:val="00815822"/>
    <w:rsid w:val="00815B93"/>
    <w:rsid w:val="00816585"/>
    <w:rsid w:val="0081760E"/>
    <w:rsid w:val="008179E8"/>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577"/>
    <w:rsid w:val="008349A6"/>
    <w:rsid w:val="00835271"/>
    <w:rsid w:val="00835679"/>
    <w:rsid w:val="008377DA"/>
    <w:rsid w:val="00841F21"/>
    <w:rsid w:val="00842991"/>
    <w:rsid w:val="008429B0"/>
    <w:rsid w:val="00843900"/>
    <w:rsid w:val="00844C5B"/>
    <w:rsid w:val="00845A15"/>
    <w:rsid w:val="0084632F"/>
    <w:rsid w:val="008474A9"/>
    <w:rsid w:val="00851180"/>
    <w:rsid w:val="00852528"/>
    <w:rsid w:val="0085434F"/>
    <w:rsid w:val="008543F7"/>
    <w:rsid w:val="008545DC"/>
    <w:rsid w:val="00854A7E"/>
    <w:rsid w:val="00855B06"/>
    <w:rsid w:val="00856B95"/>
    <w:rsid w:val="00856D1A"/>
    <w:rsid w:val="00857D29"/>
    <w:rsid w:val="00861313"/>
    <w:rsid w:val="0086161C"/>
    <w:rsid w:val="008617AF"/>
    <w:rsid w:val="00861DB0"/>
    <w:rsid w:val="00861E83"/>
    <w:rsid w:val="0086225C"/>
    <w:rsid w:val="008629A8"/>
    <w:rsid w:val="00863225"/>
    <w:rsid w:val="00863ADA"/>
    <w:rsid w:val="00865BAA"/>
    <w:rsid w:val="00865C83"/>
    <w:rsid w:val="008677CB"/>
    <w:rsid w:val="0087026D"/>
    <w:rsid w:val="0087056E"/>
    <w:rsid w:val="00870CB6"/>
    <w:rsid w:val="00873177"/>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382"/>
    <w:rsid w:val="0089046A"/>
    <w:rsid w:val="00891106"/>
    <w:rsid w:val="00892833"/>
    <w:rsid w:val="00892DCB"/>
    <w:rsid w:val="00893479"/>
    <w:rsid w:val="0089375D"/>
    <w:rsid w:val="008943CB"/>
    <w:rsid w:val="008946B9"/>
    <w:rsid w:val="008A0882"/>
    <w:rsid w:val="008A10C1"/>
    <w:rsid w:val="008A181A"/>
    <w:rsid w:val="008A183F"/>
    <w:rsid w:val="008A1C47"/>
    <w:rsid w:val="008A2289"/>
    <w:rsid w:val="008A34BA"/>
    <w:rsid w:val="008A3766"/>
    <w:rsid w:val="008A4F66"/>
    <w:rsid w:val="008A5290"/>
    <w:rsid w:val="008A593A"/>
    <w:rsid w:val="008A6A60"/>
    <w:rsid w:val="008A6C5A"/>
    <w:rsid w:val="008A6CCA"/>
    <w:rsid w:val="008B1B8C"/>
    <w:rsid w:val="008B2C59"/>
    <w:rsid w:val="008B2DF3"/>
    <w:rsid w:val="008B376A"/>
    <w:rsid w:val="008B444E"/>
    <w:rsid w:val="008B55D8"/>
    <w:rsid w:val="008B569F"/>
    <w:rsid w:val="008B7220"/>
    <w:rsid w:val="008C0669"/>
    <w:rsid w:val="008C0814"/>
    <w:rsid w:val="008C08A5"/>
    <w:rsid w:val="008C1DD7"/>
    <w:rsid w:val="008C26FA"/>
    <w:rsid w:val="008C2BC1"/>
    <w:rsid w:val="008C3F4B"/>
    <w:rsid w:val="008C4566"/>
    <w:rsid w:val="008C46B6"/>
    <w:rsid w:val="008C4935"/>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D7F62"/>
    <w:rsid w:val="008E0D4B"/>
    <w:rsid w:val="008E1C27"/>
    <w:rsid w:val="008E1E54"/>
    <w:rsid w:val="008E2057"/>
    <w:rsid w:val="008E31EC"/>
    <w:rsid w:val="008E3C88"/>
    <w:rsid w:val="008E488D"/>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2F2"/>
    <w:rsid w:val="00900662"/>
    <w:rsid w:val="00901953"/>
    <w:rsid w:val="00902166"/>
    <w:rsid w:val="00902AB3"/>
    <w:rsid w:val="00903C31"/>
    <w:rsid w:val="009040A1"/>
    <w:rsid w:val="0090473B"/>
    <w:rsid w:val="0090487F"/>
    <w:rsid w:val="00904A00"/>
    <w:rsid w:val="00904EAB"/>
    <w:rsid w:val="00904EAC"/>
    <w:rsid w:val="00905282"/>
    <w:rsid w:val="00905908"/>
    <w:rsid w:val="00906AD1"/>
    <w:rsid w:val="009075A4"/>
    <w:rsid w:val="009101AF"/>
    <w:rsid w:val="00911808"/>
    <w:rsid w:val="009145FB"/>
    <w:rsid w:val="0091555E"/>
    <w:rsid w:val="00915786"/>
    <w:rsid w:val="0091701B"/>
    <w:rsid w:val="0091746C"/>
    <w:rsid w:val="00917816"/>
    <w:rsid w:val="00917D06"/>
    <w:rsid w:val="009207DB"/>
    <w:rsid w:val="00921202"/>
    <w:rsid w:val="00922024"/>
    <w:rsid w:val="009222A3"/>
    <w:rsid w:val="009224EE"/>
    <w:rsid w:val="00922D24"/>
    <w:rsid w:val="00924853"/>
    <w:rsid w:val="009252E0"/>
    <w:rsid w:val="00925501"/>
    <w:rsid w:val="00926982"/>
    <w:rsid w:val="00926D4C"/>
    <w:rsid w:val="009270C4"/>
    <w:rsid w:val="0093083B"/>
    <w:rsid w:val="0093092B"/>
    <w:rsid w:val="009319D7"/>
    <w:rsid w:val="009325F7"/>
    <w:rsid w:val="00932BCF"/>
    <w:rsid w:val="00932E7E"/>
    <w:rsid w:val="00933396"/>
    <w:rsid w:val="00934D73"/>
    <w:rsid w:val="00935042"/>
    <w:rsid w:val="009354F5"/>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3BC0"/>
    <w:rsid w:val="00944BF0"/>
    <w:rsid w:val="00945EC2"/>
    <w:rsid w:val="00946136"/>
    <w:rsid w:val="00946CD9"/>
    <w:rsid w:val="00946E7C"/>
    <w:rsid w:val="00947046"/>
    <w:rsid w:val="00950297"/>
    <w:rsid w:val="009505F4"/>
    <w:rsid w:val="00951216"/>
    <w:rsid w:val="00951614"/>
    <w:rsid w:val="0095279B"/>
    <w:rsid w:val="009533C3"/>
    <w:rsid w:val="009535D3"/>
    <w:rsid w:val="00953807"/>
    <w:rsid w:val="00954282"/>
    <w:rsid w:val="00954427"/>
    <w:rsid w:val="0095611C"/>
    <w:rsid w:val="009564ED"/>
    <w:rsid w:val="00956CA2"/>
    <w:rsid w:val="0096079B"/>
    <w:rsid w:val="0096218D"/>
    <w:rsid w:val="00964509"/>
    <w:rsid w:val="0096501B"/>
    <w:rsid w:val="0096625E"/>
    <w:rsid w:val="0096662B"/>
    <w:rsid w:val="009666AF"/>
    <w:rsid w:val="00967180"/>
    <w:rsid w:val="0096797D"/>
    <w:rsid w:val="00970704"/>
    <w:rsid w:val="00970B65"/>
    <w:rsid w:val="00970D66"/>
    <w:rsid w:val="00971127"/>
    <w:rsid w:val="0097119E"/>
    <w:rsid w:val="009718E9"/>
    <w:rsid w:val="009734B8"/>
    <w:rsid w:val="00973514"/>
    <w:rsid w:val="009739F9"/>
    <w:rsid w:val="009741E7"/>
    <w:rsid w:val="00975C75"/>
    <w:rsid w:val="00977506"/>
    <w:rsid w:val="00977DFD"/>
    <w:rsid w:val="00981694"/>
    <w:rsid w:val="0098177A"/>
    <w:rsid w:val="00983583"/>
    <w:rsid w:val="00983EFD"/>
    <w:rsid w:val="009855B0"/>
    <w:rsid w:val="009859A8"/>
    <w:rsid w:val="00985F2F"/>
    <w:rsid w:val="00986257"/>
    <w:rsid w:val="00986564"/>
    <w:rsid w:val="0098658A"/>
    <w:rsid w:val="00986861"/>
    <w:rsid w:val="00987CBC"/>
    <w:rsid w:val="00991EB0"/>
    <w:rsid w:val="0099212B"/>
    <w:rsid w:val="0099245F"/>
    <w:rsid w:val="00993891"/>
    <w:rsid w:val="00995768"/>
    <w:rsid w:val="00995F21"/>
    <w:rsid w:val="00996203"/>
    <w:rsid w:val="00996326"/>
    <w:rsid w:val="009964FB"/>
    <w:rsid w:val="00996F95"/>
    <w:rsid w:val="00997B35"/>
    <w:rsid w:val="00997EA5"/>
    <w:rsid w:val="009A07D5"/>
    <w:rsid w:val="009A1FE7"/>
    <w:rsid w:val="009A2967"/>
    <w:rsid w:val="009A3274"/>
    <w:rsid w:val="009A36B7"/>
    <w:rsid w:val="009A3720"/>
    <w:rsid w:val="009A392B"/>
    <w:rsid w:val="009A3D58"/>
    <w:rsid w:val="009A42CF"/>
    <w:rsid w:val="009A44E8"/>
    <w:rsid w:val="009A581E"/>
    <w:rsid w:val="009A698D"/>
    <w:rsid w:val="009A6AB4"/>
    <w:rsid w:val="009B1DA5"/>
    <w:rsid w:val="009B1E1D"/>
    <w:rsid w:val="009B28FD"/>
    <w:rsid w:val="009B2AD6"/>
    <w:rsid w:val="009B3172"/>
    <w:rsid w:val="009B461D"/>
    <w:rsid w:val="009B4F1F"/>
    <w:rsid w:val="009B5594"/>
    <w:rsid w:val="009B59ED"/>
    <w:rsid w:val="009B6405"/>
    <w:rsid w:val="009B6D8D"/>
    <w:rsid w:val="009B729E"/>
    <w:rsid w:val="009B7498"/>
    <w:rsid w:val="009C007F"/>
    <w:rsid w:val="009C217C"/>
    <w:rsid w:val="009C264B"/>
    <w:rsid w:val="009C34F1"/>
    <w:rsid w:val="009C3B80"/>
    <w:rsid w:val="009C3D84"/>
    <w:rsid w:val="009C3F5A"/>
    <w:rsid w:val="009C48C6"/>
    <w:rsid w:val="009C5D76"/>
    <w:rsid w:val="009C5DFB"/>
    <w:rsid w:val="009C5FDE"/>
    <w:rsid w:val="009C623B"/>
    <w:rsid w:val="009C69E7"/>
    <w:rsid w:val="009C78D7"/>
    <w:rsid w:val="009C7B1D"/>
    <w:rsid w:val="009C7F10"/>
    <w:rsid w:val="009C7FF8"/>
    <w:rsid w:val="009D03F1"/>
    <w:rsid w:val="009D0921"/>
    <w:rsid w:val="009D101B"/>
    <w:rsid w:val="009D118E"/>
    <w:rsid w:val="009D1CF4"/>
    <w:rsid w:val="009D271A"/>
    <w:rsid w:val="009D380F"/>
    <w:rsid w:val="009D57A7"/>
    <w:rsid w:val="009D65EE"/>
    <w:rsid w:val="009D6865"/>
    <w:rsid w:val="009D6903"/>
    <w:rsid w:val="009E02F1"/>
    <w:rsid w:val="009E0525"/>
    <w:rsid w:val="009E199C"/>
    <w:rsid w:val="009E1F76"/>
    <w:rsid w:val="009E20A6"/>
    <w:rsid w:val="009E233F"/>
    <w:rsid w:val="009E323A"/>
    <w:rsid w:val="009E328B"/>
    <w:rsid w:val="009E68C1"/>
    <w:rsid w:val="009E6DD0"/>
    <w:rsid w:val="009E6DEE"/>
    <w:rsid w:val="009E700C"/>
    <w:rsid w:val="009F082A"/>
    <w:rsid w:val="009F0BD9"/>
    <w:rsid w:val="009F12B4"/>
    <w:rsid w:val="009F33FA"/>
    <w:rsid w:val="009F347C"/>
    <w:rsid w:val="009F3F14"/>
    <w:rsid w:val="009F4EC5"/>
    <w:rsid w:val="009F54D7"/>
    <w:rsid w:val="009F5B9D"/>
    <w:rsid w:val="009F6619"/>
    <w:rsid w:val="009F68FF"/>
    <w:rsid w:val="00A00E77"/>
    <w:rsid w:val="00A01A4C"/>
    <w:rsid w:val="00A01C1F"/>
    <w:rsid w:val="00A01C98"/>
    <w:rsid w:val="00A020F7"/>
    <w:rsid w:val="00A025E5"/>
    <w:rsid w:val="00A04B2F"/>
    <w:rsid w:val="00A054CB"/>
    <w:rsid w:val="00A05E8F"/>
    <w:rsid w:val="00A06A54"/>
    <w:rsid w:val="00A10423"/>
    <w:rsid w:val="00A10A6F"/>
    <w:rsid w:val="00A115B1"/>
    <w:rsid w:val="00A118B4"/>
    <w:rsid w:val="00A129C6"/>
    <w:rsid w:val="00A14BDD"/>
    <w:rsid w:val="00A15A52"/>
    <w:rsid w:val="00A169FE"/>
    <w:rsid w:val="00A1706F"/>
    <w:rsid w:val="00A1721D"/>
    <w:rsid w:val="00A20630"/>
    <w:rsid w:val="00A20956"/>
    <w:rsid w:val="00A210DB"/>
    <w:rsid w:val="00A21667"/>
    <w:rsid w:val="00A220FB"/>
    <w:rsid w:val="00A223A5"/>
    <w:rsid w:val="00A22946"/>
    <w:rsid w:val="00A23770"/>
    <w:rsid w:val="00A241FD"/>
    <w:rsid w:val="00A24BC5"/>
    <w:rsid w:val="00A2504C"/>
    <w:rsid w:val="00A26CA4"/>
    <w:rsid w:val="00A26D2E"/>
    <w:rsid w:val="00A26E5D"/>
    <w:rsid w:val="00A276A6"/>
    <w:rsid w:val="00A276FF"/>
    <w:rsid w:val="00A27A41"/>
    <w:rsid w:val="00A30C82"/>
    <w:rsid w:val="00A31A01"/>
    <w:rsid w:val="00A32211"/>
    <w:rsid w:val="00A33842"/>
    <w:rsid w:val="00A33A1E"/>
    <w:rsid w:val="00A33FDC"/>
    <w:rsid w:val="00A34114"/>
    <w:rsid w:val="00A34C81"/>
    <w:rsid w:val="00A34E19"/>
    <w:rsid w:val="00A35C90"/>
    <w:rsid w:val="00A362F9"/>
    <w:rsid w:val="00A36BE7"/>
    <w:rsid w:val="00A36F35"/>
    <w:rsid w:val="00A373CC"/>
    <w:rsid w:val="00A3760C"/>
    <w:rsid w:val="00A37704"/>
    <w:rsid w:val="00A378A0"/>
    <w:rsid w:val="00A37E59"/>
    <w:rsid w:val="00A40108"/>
    <w:rsid w:val="00A404AF"/>
    <w:rsid w:val="00A40D0C"/>
    <w:rsid w:val="00A41302"/>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606A0"/>
    <w:rsid w:val="00A60943"/>
    <w:rsid w:val="00A60A2E"/>
    <w:rsid w:val="00A60A60"/>
    <w:rsid w:val="00A61263"/>
    <w:rsid w:val="00A614AD"/>
    <w:rsid w:val="00A61608"/>
    <w:rsid w:val="00A616BD"/>
    <w:rsid w:val="00A61886"/>
    <w:rsid w:val="00A61E92"/>
    <w:rsid w:val="00A63D89"/>
    <w:rsid w:val="00A63EF3"/>
    <w:rsid w:val="00A650F1"/>
    <w:rsid w:val="00A6526E"/>
    <w:rsid w:val="00A65DA4"/>
    <w:rsid w:val="00A66E04"/>
    <w:rsid w:val="00A67194"/>
    <w:rsid w:val="00A671B3"/>
    <w:rsid w:val="00A67864"/>
    <w:rsid w:val="00A70242"/>
    <w:rsid w:val="00A7040E"/>
    <w:rsid w:val="00A7286F"/>
    <w:rsid w:val="00A734F2"/>
    <w:rsid w:val="00A73517"/>
    <w:rsid w:val="00A73DEE"/>
    <w:rsid w:val="00A74678"/>
    <w:rsid w:val="00A75AEA"/>
    <w:rsid w:val="00A76063"/>
    <w:rsid w:val="00A767EB"/>
    <w:rsid w:val="00A771BF"/>
    <w:rsid w:val="00A77299"/>
    <w:rsid w:val="00A803C1"/>
    <w:rsid w:val="00A815B6"/>
    <w:rsid w:val="00A81953"/>
    <w:rsid w:val="00A823D7"/>
    <w:rsid w:val="00A827C9"/>
    <w:rsid w:val="00A8350D"/>
    <w:rsid w:val="00A85B31"/>
    <w:rsid w:val="00A861F3"/>
    <w:rsid w:val="00A86C48"/>
    <w:rsid w:val="00A90DB1"/>
    <w:rsid w:val="00A9147B"/>
    <w:rsid w:val="00A91BA8"/>
    <w:rsid w:val="00A91EF1"/>
    <w:rsid w:val="00A91EF2"/>
    <w:rsid w:val="00A9325C"/>
    <w:rsid w:val="00A93680"/>
    <w:rsid w:val="00A9430B"/>
    <w:rsid w:val="00A94483"/>
    <w:rsid w:val="00A94750"/>
    <w:rsid w:val="00A959CA"/>
    <w:rsid w:val="00A96FC6"/>
    <w:rsid w:val="00A97A16"/>
    <w:rsid w:val="00A97B61"/>
    <w:rsid w:val="00A97C2E"/>
    <w:rsid w:val="00A97CE3"/>
    <w:rsid w:val="00A97E0C"/>
    <w:rsid w:val="00AA01DA"/>
    <w:rsid w:val="00AA1178"/>
    <w:rsid w:val="00AA11BA"/>
    <w:rsid w:val="00AA2D62"/>
    <w:rsid w:val="00AA2E2C"/>
    <w:rsid w:val="00AA2E90"/>
    <w:rsid w:val="00AA3077"/>
    <w:rsid w:val="00AA375B"/>
    <w:rsid w:val="00AA38AF"/>
    <w:rsid w:val="00AA450C"/>
    <w:rsid w:val="00AA4B62"/>
    <w:rsid w:val="00AA5EB3"/>
    <w:rsid w:val="00AA6916"/>
    <w:rsid w:val="00AB040A"/>
    <w:rsid w:val="00AB110E"/>
    <w:rsid w:val="00AB11CF"/>
    <w:rsid w:val="00AB1287"/>
    <w:rsid w:val="00AB1CE8"/>
    <w:rsid w:val="00AB2016"/>
    <w:rsid w:val="00AB2E62"/>
    <w:rsid w:val="00AB2F06"/>
    <w:rsid w:val="00AB4FFF"/>
    <w:rsid w:val="00AB5190"/>
    <w:rsid w:val="00AB5513"/>
    <w:rsid w:val="00AB5A0C"/>
    <w:rsid w:val="00AB6070"/>
    <w:rsid w:val="00AB6DFC"/>
    <w:rsid w:val="00AB7354"/>
    <w:rsid w:val="00AB7C46"/>
    <w:rsid w:val="00AB7DD5"/>
    <w:rsid w:val="00AC05D0"/>
    <w:rsid w:val="00AC3637"/>
    <w:rsid w:val="00AC3D4F"/>
    <w:rsid w:val="00AC3DB7"/>
    <w:rsid w:val="00AC4699"/>
    <w:rsid w:val="00AC5650"/>
    <w:rsid w:val="00AC59DF"/>
    <w:rsid w:val="00AC72C7"/>
    <w:rsid w:val="00AC7899"/>
    <w:rsid w:val="00AD13D6"/>
    <w:rsid w:val="00AD347C"/>
    <w:rsid w:val="00AD4087"/>
    <w:rsid w:val="00AD4E84"/>
    <w:rsid w:val="00AD629C"/>
    <w:rsid w:val="00AD6A21"/>
    <w:rsid w:val="00AD6BE0"/>
    <w:rsid w:val="00AD752F"/>
    <w:rsid w:val="00AE0C8D"/>
    <w:rsid w:val="00AE0E2A"/>
    <w:rsid w:val="00AE1411"/>
    <w:rsid w:val="00AE19B4"/>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190C"/>
    <w:rsid w:val="00B01C3F"/>
    <w:rsid w:val="00B02315"/>
    <w:rsid w:val="00B02BF0"/>
    <w:rsid w:val="00B02EA8"/>
    <w:rsid w:val="00B034DD"/>
    <w:rsid w:val="00B03AB4"/>
    <w:rsid w:val="00B05B91"/>
    <w:rsid w:val="00B06ED4"/>
    <w:rsid w:val="00B077CC"/>
    <w:rsid w:val="00B07A28"/>
    <w:rsid w:val="00B102E7"/>
    <w:rsid w:val="00B12A63"/>
    <w:rsid w:val="00B13397"/>
    <w:rsid w:val="00B1400D"/>
    <w:rsid w:val="00B147C9"/>
    <w:rsid w:val="00B15BB2"/>
    <w:rsid w:val="00B16EBE"/>
    <w:rsid w:val="00B20E3B"/>
    <w:rsid w:val="00B21D0E"/>
    <w:rsid w:val="00B22C57"/>
    <w:rsid w:val="00B23C76"/>
    <w:rsid w:val="00B23EEE"/>
    <w:rsid w:val="00B27298"/>
    <w:rsid w:val="00B27384"/>
    <w:rsid w:val="00B276E4"/>
    <w:rsid w:val="00B27A6D"/>
    <w:rsid w:val="00B309F9"/>
    <w:rsid w:val="00B30DAD"/>
    <w:rsid w:val="00B31782"/>
    <w:rsid w:val="00B3402E"/>
    <w:rsid w:val="00B360B7"/>
    <w:rsid w:val="00B36928"/>
    <w:rsid w:val="00B37293"/>
    <w:rsid w:val="00B4076A"/>
    <w:rsid w:val="00B413EB"/>
    <w:rsid w:val="00B428F3"/>
    <w:rsid w:val="00B42C20"/>
    <w:rsid w:val="00B43287"/>
    <w:rsid w:val="00B43864"/>
    <w:rsid w:val="00B43AD9"/>
    <w:rsid w:val="00B443D5"/>
    <w:rsid w:val="00B44482"/>
    <w:rsid w:val="00B450D9"/>
    <w:rsid w:val="00B46FF2"/>
    <w:rsid w:val="00B51B75"/>
    <w:rsid w:val="00B52AD3"/>
    <w:rsid w:val="00B539EB"/>
    <w:rsid w:val="00B54B76"/>
    <w:rsid w:val="00B55ECC"/>
    <w:rsid w:val="00B560E5"/>
    <w:rsid w:val="00B5610F"/>
    <w:rsid w:val="00B576E1"/>
    <w:rsid w:val="00B6088D"/>
    <w:rsid w:val="00B608F1"/>
    <w:rsid w:val="00B60F79"/>
    <w:rsid w:val="00B61158"/>
    <w:rsid w:val="00B6252C"/>
    <w:rsid w:val="00B62CBE"/>
    <w:rsid w:val="00B62EFD"/>
    <w:rsid w:val="00B63999"/>
    <w:rsid w:val="00B63B4A"/>
    <w:rsid w:val="00B63E1F"/>
    <w:rsid w:val="00B641C5"/>
    <w:rsid w:val="00B64F8D"/>
    <w:rsid w:val="00B6533C"/>
    <w:rsid w:val="00B65388"/>
    <w:rsid w:val="00B6731A"/>
    <w:rsid w:val="00B673CA"/>
    <w:rsid w:val="00B70903"/>
    <w:rsid w:val="00B7108D"/>
    <w:rsid w:val="00B7117A"/>
    <w:rsid w:val="00B713F0"/>
    <w:rsid w:val="00B72053"/>
    <w:rsid w:val="00B733A9"/>
    <w:rsid w:val="00B73BEF"/>
    <w:rsid w:val="00B74530"/>
    <w:rsid w:val="00B7458C"/>
    <w:rsid w:val="00B74E4D"/>
    <w:rsid w:val="00B75D3F"/>
    <w:rsid w:val="00B75D4C"/>
    <w:rsid w:val="00B76F2C"/>
    <w:rsid w:val="00B77723"/>
    <w:rsid w:val="00B77863"/>
    <w:rsid w:val="00B801AC"/>
    <w:rsid w:val="00B815D3"/>
    <w:rsid w:val="00B8270D"/>
    <w:rsid w:val="00B827F1"/>
    <w:rsid w:val="00B82B33"/>
    <w:rsid w:val="00B8384C"/>
    <w:rsid w:val="00B843A1"/>
    <w:rsid w:val="00B8441F"/>
    <w:rsid w:val="00B854BE"/>
    <w:rsid w:val="00B85704"/>
    <w:rsid w:val="00B86421"/>
    <w:rsid w:val="00B866BF"/>
    <w:rsid w:val="00B868D6"/>
    <w:rsid w:val="00B86D0A"/>
    <w:rsid w:val="00B8748B"/>
    <w:rsid w:val="00B87B3F"/>
    <w:rsid w:val="00B90972"/>
    <w:rsid w:val="00B91818"/>
    <w:rsid w:val="00B922D6"/>
    <w:rsid w:val="00B92819"/>
    <w:rsid w:val="00B93E18"/>
    <w:rsid w:val="00B93E2C"/>
    <w:rsid w:val="00B94BE5"/>
    <w:rsid w:val="00B95B44"/>
    <w:rsid w:val="00B96069"/>
    <w:rsid w:val="00BA0A76"/>
    <w:rsid w:val="00BA11A9"/>
    <w:rsid w:val="00BA1642"/>
    <w:rsid w:val="00BA30C2"/>
    <w:rsid w:val="00BA31C6"/>
    <w:rsid w:val="00BA4B0A"/>
    <w:rsid w:val="00BA4FE7"/>
    <w:rsid w:val="00BA699B"/>
    <w:rsid w:val="00BA76AB"/>
    <w:rsid w:val="00BB0225"/>
    <w:rsid w:val="00BB0423"/>
    <w:rsid w:val="00BB1D73"/>
    <w:rsid w:val="00BB2CE4"/>
    <w:rsid w:val="00BB2D17"/>
    <w:rsid w:val="00BB2D1B"/>
    <w:rsid w:val="00BB42D2"/>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64C"/>
    <w:rsid w:val="00BD78C6"/>
    <w:rsid w:val="00BE01E1"/>
    <w:rsid w:val="00BE07A5"/>
    <w:rsid w:val="00BE1494"/>
    <w:rsid w:val="00BE15DA"/>
    <w:rsid w:val="00BE19AD"/>
    <w:rsid w:val="00BE369C"/>
    <w:rsid w:val="00BE4117"/>
    <w:rsid w:val="00BE4FBC"/>
    <w:rsid w:val="00BE5B7C"/>
    <w:rsid w:val="00BE6DBE"/>
    <w:rsid w:val="00BE72FD"/>
    <w:rsid w:val="00BE733C"/>
    <w:rsid w:val="00BE73D4"/>
    <w:rsid w:val="00BE7AF2"/>
    <w:rsid w:val="00BF1EF8"/>
    <w:rsid w:val="00BF25A9"/>
    <w:rsid w:val="00BF2DE5"/>
    <w:rsid w:val="00BF4429"/>
    <w:rsid w:val="00BF45DB"/>
    <w:rsid w:val="00BF4C49"/>
    <w:rsid w:val="00BF4D1A"/>
    <w:rsid w:val="00BF5168"/>
    <w:rsid w:val="00BF51C9"/>
    <w:rsid w:val="00BF5A5B"/>
    <w:rsid w:val="00BF6338"/>
    <w:rsid w:val="00BF6D56"/>
    <w:rsid w:val="00BF7EB2"/>
    <w:rsid w:val="00C00D03"/>
    <w:rsid w:val="00C00D9C"/>
    <w:rsid w:val="00C01DFC"/>
    <w:rsid w:val="00C0270E"/>
    <w:rsid w:val="00C0282B"/>
    <w:rsid w:val="00C03262"/>
    <w:rsid w:val="00C047A4"/>
    <w:rsid w:val="00C05013"/>
    <w:rsid w:val="00C067E0"/>
    <w:rsid w:val="00C0773D"/>
    <w:rsid w:val="00C07B99"/>
    <w:rsid w:val="00C1025D"/>
    <w:rsid w:val="00C11733"/>
    <w:rsid w:val="00C12CC1"/>
    <w:rsid w:val="00C12D2D"/>
    <w:rsid w:val="00C12D93"/>
    <w:rsid w:val="00C12EE2"/>
    <w:rsid w:val="00C12EE5"/>
    <w:rsid w:val="00C1324B"/>
    <w:rsid w:val="00C139DE"/>
    <w:rsid w:val="00C13B55"/>
    <w:rsid w:val="00C13CB8"/>
    <w:rsid w:val="00C151CE"/>
    <w:rsid w:val="00C1561B"/>
    <w:rsid w:val="00C15BBB"/>
    <w:rsid w:val="00C16087"/>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7CB"/>
    <w:rsid w:val="00C35C8E"/>
    <w:rsid w:val="00C36B1D"/>
    <w:rsid w:val="00C3742C"/>
    <w:rsid w:val="00C410D2"/>
    <w:rsid w:val="00C41363"/>
    <w:rsid w:val="00C42A78"/>
    <w:rsid w:val="00C437D6"/>
    <w:rsid w:val="00C45C94"/>
    <w:rsid w:val="00C4601D"/>
    <w:rsid w:val="00C46612"/>
    <w:rsid w:val="00C509D2"/>
    <w:rsid w:val="00C518B0"/>
    <w:rsid w:val="00C51CCA"/>
    <w:rsid w:val="00C523ED"/>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3883"/>
    <w:rsid w:val="00C7443F"/>
    <w:rsid w:val="00C745D7"/>
    <w:rsid w:val="00C7702A"/>
    <w:rsid w:val="00C7732F"/>
    <w:rsid w:val="00C773C8"/>
    <w:rsid w:val="00C80A25"/>
    <w:rsid w:val="00C80E5E"/>
    <w:rsid w:val="00C82930"/>
    <w:rsid w:val="00C82C9E"/>
    <w:rsid w:val="00C841BF"/>
    <w:rsid w:val="00C84F61"/>
    <w:rsid w:val="00C8531E"/>
    <w:rsid w:val="00C85560"/>
    <w:rsid w:val="00C85A3E"/>
    <w:rsid w:val="00C85A50"/>
    <w:rsid w:val="00C85B6C"/>
    <w:rsid w:val="00C85ECE"/>
    <w:rsid w:val="00C86BFE"/>
    <w:rsid w:val="00C86D8A"/>
    <w:rsid w:val="00C86FF3"/>
    <w:rsid w:val="00C87E2F"/>
    <w:rsid w:val="00C900B0"/>
    <w:rsid w:val="00C9080B"/>
    <w:rsid w:val="00C90EA7"/>
    <w:rsid w:val="00C90EF9"/>
    <w:rsid w:val="00C9146C"/>
    <w:rsid w:val="00C91711"/>
    <w:rsid w:val="00C91A95"/>
    <w:rsid w:val="00C92931"/>
    <w:rsid w:val="00C92949"/>
    <w:rsid w:val="00C9312F"/>
    <w:rsid w:val="00C94499"/>
    <w:rsid w:val="00C9491A"/>
    <w:rsid w:val="00C94BE9"/>
    <w:rsid w:val="00C95DD7"/>
    <w:rsid w:val="00C95ED6"/>
    <w:rsid w:val="00C96BBB"/>
    <w:rsid w:val="00CA04D5"/>
    <w:rsid w:val="00CA1AC8"/>
    <w:rsid w:val="00CA1FB0"/>
    <w:rsid w:val="00CA24D1"/>
    <w:rsid w:val="00CA2AD9"/>
    <w:rsid w:val="00CA39CC"/>
    <w:rsid w:val="00CA3C11"/>
    <w:rsid w:val="00CA403D"/>
    <w:rsid w:val="00CA4743"/>
    <w:rsid w:val="00CA57FE"/>
    <w:rsid w:val="00CA5FF6"/>
    <w:rsid w:val="00CA6F32"/>
    <w:rsid w:val="00CA735E"/>
    <w:rsid w:val="00CB01B1"/>
    <w:rsid w:val="00CB138F"/>
    <w:rsid w:val="00CB13CF"/>
    <w:rsid w:val="00CB13E0"/>
    <w:rsid w:val="00CB1F09"/>
    <w:rsid w:val="00CB2282"/>
    <w:rsid w:val="00CB2F02"/>
    <w:rsid w:val="00CB3D0E"/>
    <w:rsid w:val="00CB44CC"/>
    <w:rsid w:val="00CB4522"/>
    <w:rsid w:val="00CB76B8"/>
    <w:rsid w:val="00CB7703"/>
    <w:rsid w:val="00CB77EE"/>
    <w:rsid w:val="00CB783B"/>
    <w:rsid w:val="00CB7AE2"/>
    <w:rsid w:val="00CC1C1E"/>
    <w:rsid w:val="00CC2611"/>
    <w:rsid w:val="00CC2803"/>
    <w:rsid w:val="00CC295E"/>
    <w:rsid w:val="00CC48D6"/>
    <w:rsid w:val="00CC4B7F"/>
    <w:rsid w:val="00CC544C"/>
    <w:rsid w:val="00CC559E"/>
    <w:rsid w:val="00CC707F"/>
    <w:rsid w:val="00CC708A"/>
    <w:rsid w:val="00CC79CD"/>
    <w:rsid w:val="00CD0365"/>
    <w:rsid w:val="00CD1447"/>
    <w:rsid w:val="00CD1841"/>
    <w:rsid w:val="00CD1BF1"/>
    <w:rsid w:val="00CD1C46"/>
    <w:rsid w:val="00CD1D2E"/>
    <w:rsid w:val="00CD27CD"/>
    <w:rsid w:val="00CD4BF8"/>
    <w:rsid w:val="00CD52CD"/>
    <w:rsid w:val="00CD652E"/>
    <w:rsid w:val="00CD6828"/>
    <w:rsid w:val="00CD685C"/>
    <w:rsid w:val="00CD68DD"/>
    <w:rsid w:val="00CD7B8B"/>
    <w:rsid w:val="00CE01F8"/>
    <w:rsid w:val="00CE0D43"/>
    <w:rsid w:val="00CE24B9"/>
    <w:rsid w:val="00CE2B04"/>
    <w:rsid w:val="00CE2CA1"/>
    <w:rsid w:val="00CE3E8B"/>
    <w:rsid w:val="00CE47DC"/>
    <w:rsid w:val="00CE4F3D"/>
    <w:rsid w:val="00CE5298"/>
    <w:rsid w:val="00CE5322"/>
    <w:rsid w:val="00CE58EB"/>
    <w:rsid w:val="00CE6939"/>
    <w:rsid w:val="00CE705F"/>
    <w:rsid w:val="00CE745E"/>
    <w:rsid w:val="00CF0041"/>
    <w:rsid w:val="00CF0D4B"/>
    <w:rsid w:val="00CF2605"/>
    <w:rsid w:val="00CF2804"/>
    <w:rsid w:val="00CF35B2"/>
    <w:rsid w:val="00CF36C4"/>
    <w:rsid w:val="00CF38D4"/>
    <w:rsid w:val="00CF5C07"/>
    <w:rsid w:val="00CF5CFC"/>
    <w:rsid w:val="00CF7EF6"/>
    <w:rsid w:val="00D00272"/>
    <w:rsid w:val="00D00AF5"/>
    <w:rsid w:val="00D00BD6"/>
    <w:rsid w:val="00D00E75"/>
    <w:rsid w:val="00D00EE2"/>
    <w:rsid w:val="00D01917"/>
    <w:rsid w:val="00D01EBC"/>
    <w:rsid w:val="00D036AC"/>
    <w:rsid w:val="00D03DE1"/>
    <w:rsid w:val="00D03EDD"/>
    <w:rsid w:val="00D03EEF"/>
    <w:rsid w:val="00D04F08"/>
    <w:rsid w:val="00D050BB"/>
    <w:rsid w:val="00D07010"/>
    <w:rsid w:val="00D07087"/>
    <w:rsid w:val="00D07A1B"/>
    <w:rsid w:val="00D07E2A"/>
    <w:rsid w:val="00D11666"/>
    <w:rsid w:val="00D11D07"/>
    <w:rsid w:val="00D138F2"/>
    <w:rsid w:val="00D1489F"/>
    <w:rsid w:val="00D159F8"/>
    <w:rsid w:val="00D15DD2"/>
    <w:rsid w:val="00D163E4"/>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5DF4"/>
    <w:rsid w:val="00D27131"/>
    <w:rsid w:val="00D31AD0"/>
    <w:rsid w:val="00D31BBD"/>
    <w:rsid w:val="00D34305"/>
    <w:rsid w:val="00D34E83"/>
    <w:rsid w:val="00D35189"/>
    <w:rsid w:val="00D352D0"/>
    <w:rsid w:val="00D37354"/>
    <w:rsid w:val="00D404B1"/>
    <w:rsid w:val="00D4104F"/>
    <w:rsid w:val="00D43988"/>
    <w:rsid w:val="00D4707E"/>
    <w:rsid w:val="00D47238"/>
    <w:rsid w:val="00D4762C"/>
    <w:rsid w:val="00D47867"/>
    <w:rsid w:val="00D47B4E"/>
    <w:rsid w:val="00D47EAF"/>
    <w:rsid w:val="00D50B2A"/>
    <w:rsid w:val="00D51517"/>
    <w:rsid w:val="00D52D4A"/>
    <w:rsid w:val="00D52D7F"/>
    <w:rsid w:val="00D53034"/>
    <w:rsid w:val="00D538B0"/>
    <w:rsid w:val="00D541A8"/>
    <w:rsid w:val="00D55A05"/>
    <w:rsid w:val="00D562A8"/>
    <w:rsid w:val="00D60960"/>
    <w:rsid w:val="00D61A9F"/>
    <w:rsid w:val="00D61EDD"/>
    <w:rsid w:val="00D6211B"/>
    <w:rsid w:val="00D628AF"/>
    <w:rsid w:val="00D6294B"/>
    <w:rsid w:val="00D63F63"/>
    <w:rsid w:val="00D654F8"/>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407"/>
    <w:rsid w:val="00D75449"/>
    <w:rsid w:val="00D7563E"/>
    <w:rsid w:val="00D76E21"/>
    <w:rsid w:val="00D770D5"/>
    <w:rsid w:val="00D809B7"/>
    <w:rsid w:val="00D812A9"/>
    <w:rsid w:val="00D813B0"/>
    <w:rsid w:val="00D8141C"/>
    <w:rsid w:val="00D81A57"/>
    <w:rsid w:val="00D81A98"/>
    <w:rsid w:val="00D8269A"/>
    <w:rsid w:val="00D82962"/>
    <w:rsid w:val="00D82A4C"/>
    <w:rsid w:val="00D830B5"/>
    <w:rsid w:val="00D83A65"/>
    <w:rsid w:val="00D846CF"/>
    <w:rsid w:val="00D84999"/>
    <w:rsid w:val="00D85683"/>
    <w:rsid w:val="00D86D21"/>
    <w:rsid w:val="00D8772B"/>
    <w:rsid w:val="00D9031D"/>
    <w:rsid w:val="00D90824"/>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0A19"/>
    <w:rsid w:val="00DA16AA"/>
    <w:rsid w:val="00DA1DED"/>
    <w:rsid w:val="00DA28A7"/>
    <w:rsid w:val="00DA2BB0"/>
    <w:rsid w:val="00DA2FCA"/>
    <w:rsid w:val="00DA348E"/>
    <w:rsid w:val="00DA373A"/>
    <w:rsid w:val="00DA4A4E"/>
    <w:rsid w:val="00DA59D2"/>
    <w:rsid w:val="00DA5A9C"/>
    <w:rsid w:val="00DA5F60"/>
    <w:rsid w:val="00DA6E9D"/>
    <w:rsid w:val="00DA6FF3"/>
    <w:rsid w:val="00DB0066"/>
    <w:rsid w:val="00DB0F33"/>
    <w:rsid w:val="00DB1595"/>
    <w:rsid w:val="00DB297D"/>
    <w:rsid w:val="00DB2B7E"/>
    <w:rsid w:val="00DB2BA7"/>
    <w:rsid w:val="00DB2F6C"/>
    <w:rsid w:val="00DB345D"/>
    <w:rsid w:val="00DB5719"/>
    <w:rsid w:val="00DB624E"/>
    <w:rsid w:val="00DB65FF"/>
    <w:rsid w:val="00DB7C6B"/>
    <w:rsid w:val="00DC02EA"/>
    <w:rsid w:val="00DC035C"/>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1F66"/>
    <w:rsid w:val="00DD3316"/>
    <w:rsid w:val="00DD3E02"/>
    <w:rsid w:val="00DD45AF"/>
    <w:rsid w:val="00DD5654"/>
    <w:rsid w:val="00DD5E57"/>
    <w:rsid w:val="00DD60E3"/>
    <w:rsid w:val="00DD66C8"/>
    <w:rsid w:val="00DD7F9B"/>
    <w:rsid w:val="00DE1C74"/>
    <w:rsid w:val="00DE1CCF"/>
    <w:rsid w:val="00DE1D7B"/>
    <w:rsid w:val="00DE3385"/>
    <w:rsid w:val="00DE39C4"/>
    <w:rsid w:val="00DE3CA1"/>
    <w:rsid w:val="00DE4007"/>
    <w:rsid w:val="00DE4053"/>
    <w:rsid w:val="00DE4638"/>
    <w:rsid w:val="00DE4651"/>
    <w:rsid w:val="00DE4FEE"/>
    <w:rsid w:val="00DE51C1"/>
    <w:rsid w:val="00DE534A"/>
    <w:rsid w:val="00DE55FD"/>
    <w:rsid w:val="00DE60A8"/>
    <w:rsid w:val="00DE7265"/>
    <w:rsid w:val="00DE7525"/>
    <w:rsid w:val="00DE7C1C"/>
    <w:rsid w:val="00DF0111"/>
    <w:rsid w:val="00DF01E6"/>
    <w:rsid w:val="00DF14DF"/>
    <w:rsid w:val="00DF2247"/>
    <w:rsid w:val="00DF2353"/>
    <w:rsid w:val="00DF29FE"/>
    <w:rsid w:val="00DF3AB2"/>
    <w:rsid w:val="00DF4116"/>
    <w:rsid w:val="00DF5129"/>
    <w:rsid w:val="00DF5784"/>
    <w:rsid w:val="00DF58B8"/>
    <w:rsid w:val="00DF5FF8"/>
    <w:rsid w:val="00DF6EE5"/>
    <w:rsid w:val="00DF7E7E"/>
    <w:rsid w:val="00E0077B"/>
    <w:rsid w:val="00E00898"/>
    <w:rsid w:val="00E03634"/>
    <w:rsid w:val="00E04192"/>
    <w:rsid w:val="00E050B6"/>
    <w:rsid w:val="00E0557E"/>
    <w:rsid w:val="00E05980"/>
    <w:rsid w:val="00E05D14"/>
    <w:rsid w:val="00E0628E"/>
    <w:rsid w:val="00E06460"/>
    <w:rsid w:val="00E073CF"/>
    <w:rsid w:val="00E07997"/>
    <w:rsid w:val="00E07A6A"/>
    <w:rsid w:val="00E07EB8"/>
    <w:rsid w:val="00E107B2"/>
    <w:rsid w:val="00E10EB1"/>
    <w:rsid w:val="00E114CF"/>
    <w:rsid w:val="00E120E4"/>
    <w:rsid w:val="00E13636"/>
    <w:rsid w:val="00E149F4"/>
    <w:rsid w:val="00E14A90"/>
    <w:rsid w:val="00E1684C"/>
    <w:rsid w:val="00E17F53"/>
    <w:rsid w:val="00E20354"/>
    <w:rsid w:val="00E207DB"/>
    <w:rsid w:val="00E20BB5"/>
    <w:rsid w:val="00E21F5A"/>
    <w:rsid w:val="00E221D8"/>
    <w:rsid w:val="00E234F1"/>
    <w:rsid w:val="00E23ACB"/>
    <w:rsid w:val="00E23BDA"/>
    <w:rsid w:val="00E25124"/>
    <w:rsid w:val="00E261F8"/>
    <w:rsid w:val="00E26E25"/>
    <w:rsid w:val="00E27DF3"/>
    <w:rsid w:val="00E30D68"/>
    <w:rsid w:val="00E3110A"/>
    <w:rsid w:val="00E319DC"/>
    <w:rsid w:val="00E324AD"/>
    <w:rsid w:val="00E3342D"/>
    <w:rsid w:val="00E33683"/>
    <w:rsid w:val="00E33734"/>
    <w:rsid w:val="00E33F82"/>
    <w:rsid w:val="00E34AA9"/>
    <w:rsid w:val="00E36A4F"/>
    <w:rsid w:val="00E376C4"/>
    <w:rsid w:val="00E37D5F"/>
    <w:rsid w:val="00E429A0"/>
    <w:rsid w:val="00E42D39"/>
    <w:rsid w:val="00E44CD4"/>
    <w:rsid w:val="00E45B91"/>
    <w:rsid w:val="00E461B6"/>
    <w:rsid w:val="00E46804"/>
    <w:rsid w:val="00E46C57"/>
    <w:rsid w:val="00E5116E"/>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BB7"/>
    <w:rsid w:val="00E64EEE"/>
    <w:rsid w:val="00E66F49"/>
    <w:rsid w:val="00E721A9"/>
    <w:rsid w:val="00E73549"/>
    <w:rsid w:val="00E7484F"/>
    <w:rsid w:val="00E74861"/>
    <w:rsid w:val="00E74B50"/>
    <w:rsid w:val="00E74EC9"/>
    <w:rsid w:val="00E75572"/>
    <w:rsid w:val="00E75733"/>
    <w:rsid w:val="00E75895"/>
    <w:rsid w:val="00E75A9D"/>
    <w:rsid w:val="00E75E7E"/>
    <w:rsid w:val="00E77753"/>
    <w:rsid w:val="00E77754"/>
    <w:rsid w:val="00E80CF7"/>
    <w:rsid w:val="00E80FB4"/>
    <w:rsid w:val="00E81B8E"/>
    <w:rsid w:val="00E81ED7"/>
    <w:rsid w:val="00E8369B"/>
    <w:rsid w:val="00E8377F"/>
    <w:rsid w:val="00E83850"/>
    <w:rsid w:val="00E85244"/>
    <w:rsid w:val="00E85A96"/>
    <w:rsid w:val="00E86159"/>
    <w:rsid w:val="00E86741"/>
    <w:rsid w:val="00E87AE4"/>
    <w:rsid w:val="00E90A5A"/>
    <w:rsid w:val="00E90C1F"/>
    <w:rsid w:val="00E9124A"/>
    <w:rsid w:val="00E9222C"/>
    <w:rsid w:val="00E9296D"/>
    <w:rsid w:val="00E92AA5"/>
    <w:rsid w:val="00E94509"/>
    <w:rsid w:val="00E94A0D"/>
    <w:rsid w:val="00E9558B"/>
    <w:rsid w:val="00E95A44"/>
    <w:rsid w:val="00E95D1B"/>
    <w:rsid w:val="00E969A4"/>
    <w:rsid w:val="00E9735C"/>
    <w:rsid w:val="00EA0266"/>
    <w:rsid w:val="00EA234B"/>
    <w:rsid w:val="00EA274B"/>
    <w:rsid w:val="00EA2EFA"/>
    <w:rsid w:val="00EA3184"/>
    <w:rsid w:val="00EA3732"/>
    <w:rsid w:val="00EA3794"/>
    <w:rsid w:val="00EA3CDD"/>
    <w:rsid w:val="00EA4124"/>
    <w:rsid w:val="00EA42EB"/>
    <w:rsid w:val="00EA5028"/>
    <w:rsid w:val="00EA50D6"/>
    <w:rsid w:val="00EA5714"/>
    <w:rsid w:val="00EA5E70"/>
    <w:rsid w:val="00EA60EF"/>
    <w:rsid w:val="00EA6A30"/>
    <w:rsid w:val="00EA6A41"/>
    <w:rsid w:val="00EA7662"/>
    <w:rsid w:val="00EA7CC3"/>
    <w:rsid w:val="00EB016F"/>
    <w:rsid w:val="00EB04F4"/>
    <w:rsid w:val="00EB05E3"/>
    <w:rsid w:val="00EB212C"/>
    <w:rsid w:val="00EB2216"/>
    <w:rsid w:val="00EB27D1"/>
    <w:rsid w:val="00EB33F4"/>
    <w:rsid w:val="00EB3B9C"/>
    <w:rsid w:val="00EB40E0"/>
    <w:rsid w:val="00EB4C04"/>
    <w:rsid w:val="00EB6502"/>
    <w:rsid w:val="00EB7D9C"/>
    <w:rsid w:val="00EC01F0"/>
    <w:rsid w:val="00EC1406"/>
    <w:rsid w:val="00EC1526"/>
    <w:rsid w:val="00EC23F3"/>
    <w:rsid w:val="00EC2677"/>
    <w:rsid w:val="00EC2AB5"/>
    <w:rsid w:val="00EC36F2"/>
    <w:rsid w:val="00EC4B79"/>
    <w:rsid w:val="00EC4F33"/>
    <w:rsid w:val="00EC7E82"/>
    <w:rsid w:val="00ED0B81"/>
    <w:rsid w:val="00ED19B3"/>
    <w:rsid w:val="00ED1A64"/>
    <w:rsid w:val="00ED28DD"/>
    <w:rsid w:val="00ED421C"/>
    <w:rsid w:val="00ED43A6"/>
    <w:rsid w:val="00ED4E89"/>
    <w:rsid w:val="00ED502A"/>
    <w:rsid w:val="00ED69B3"/>
    <w:rsid w:val="00ED6AF3"/>
    <w:rsid w:val="00ED6FB9"/>
    <w:rsid w:val="00ED7371"/>
    <w:rsid w:val="00ED7E2F"/>
    <w:rsid w:val="00ED7EA8"/>
    <w:rsid w:val="00EE1162"/>
    <w:rsid w:val="00EE1313"/>
    <w:rsid w:val="00EE1F37"/>
    <w:rsid w:val="00EE2126"/>
    <w:rsid w:val="00EE3363"/>
    <w:rsid w:val="00EE3725"/>
    <w:rsid w:val="00EE3F3C"/>
    <w:rsid w:val="00EE4C7E"/>
    <w:rsid w:val="00EE556D"/>
    <w:rsid w:val="00EE60A2"/>
    <w:rsid w:val="00EE6184"/>
    <w:rsid w:val="00EE679C"/>
    <w:rsid w:val="00EE686B"/>
    <w:rsid w:val="00EE74C0"/>
    <w:rsid w:val="00EE7596"/>
    <w:rsid w:val="00EE7A2C"/>
    <w:rsid w:val="00EF06D3"/>
    <w:rsid w:val="00EF09D3"/>
    <w:rsid w:val="00EF108A"/>
    <w:rsid w:val="00EF1240"/>
    <w:rsid w:val="00EF1F75"/>
    <w:rsid w:val="00EF2240"/>
    <w:rsid w:val="00EF297A"/>
    <w:rsid w:val="00EF3069"/>
    <w:rsid w:val="00EF31A5"/>
    <w:rsid w:val="00EF3742"/>
    <w:rsid w:val="00EF3EB5"/>
    <w:rsid w:val="00EF57B9"/>
    <w:rsid w:val="00EF57DF"/>
    <w:rsid w:val="00EF632B"/>
    <w:rsid w:val="00EF6556"/>
    <w:rsid w:val="00EF689A"/>
    <w:rsid w:val="00F02BAD"/>
    <w:rsid w:val="00F0319D"/>
    <w:rsid w:val="00F07890"/>
    <w:rsid w:val="00F07A4C"/>
    <w:rsid w:val="00F07B03"/>
    <w:rsid w:val="00F115A2"/>
    <w:rsid w:val="00F11635"/>
    <w:rsid w:val="00F11928"/>
    <w:rsid w:val="00F12D86"/>
    <w:rsid w:val="00F131AA"/>
    <w:rsid w:val="00F131FD"/>
    <w:rsid w:val="00F1350B"/>
    <w:rsid w:val="00F13B05"/>
    <w:rsid w:val="00F13B5A"/>
    <w:rsid w:val="00F13EED"/>
    <w:rsid w:val="00F15AF2"/>
    <w:rsid w:val="00F21290"/>
    <w:rsid w:val="00F2299F"/>
    <w:rsid w:val="00F231F0"/>
    <w:rsid w:val="00F24787"/>
    <w:rsid w:val="00F25311"/>
    <w:rsid w:val="00F259A5"/>
    <w:rsid w:val="00F263E5"/>
    <w:rsid w:val="00F301E0"/>
    <w:rsid w:val="00F307CC"/>
    <w:rsid w:val="00F30BBA"/>
    <w:rsid w:val="00F31630"/>
    <w:rsid w:val="00F31A8F"/>
    <w:rsid w:val="00F320C0"/>
    <w:rsid w:val="00F32D63"/>
    <w:rsid w:val="00F33C8D"/>
    <w:rsid w:val="00F34012"/>
    <w:rsid w:val="00F343A3"/>
    <w:rsid w:val="00F34C99"/>
    <w:rsid w:val="00F3531A"/>
    <w:rsid w:val="00F353E8"/>
    <w:rsid w:val="00F35AB2"/>
    <w:rsid w:val="00F400FB"/>
    <w:rsid w:val="00F41DB0"/>
    <w:rsid w:val="00F43631"/>
    <w:rsid w:val="00F43947"/>
    <w:rsid w:val="00F439BB"/>
    <w:rsid w:val="00F43CEB"/>
    <w:rsid w:val="00F449D7"/>
    <w:rsid w:val="00F460C4"/>
    <w:rsid w:val="00F461AE"/>
    <w:rsid w:val="00F467F9"/>
    <w:rsid w:val="00F47426"/>
    <w:rsid w:val="00F50D6C"/>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1A48"/>
    <w:rsid w:val="00F82021"/>
    <w:rsid w:val="00F82080"/>
    <w:rsid w:val="00F82A7B"/>
    <w:rsid w:val="00F8476C"/>
    <w:rsid w:val="00F850A1"/>
    <w:rsid w:val="00F85CBD"/>
    <w:rsid w:val="00F87810"/>
    <w:rsid w:val="00F905B8"/>
    <w:rsid w:val="00F91164"/>
    <w:rsid w:val="00F91292"/>
    <w:rsid w:val="00F9190B"/>
    <w:rsid w:val="00F91D47"/>
    <w:rsid w:val="00F92B0F"/>
    <w:rsid w:val="00F9354E"/>
    <w:rsid w:val="00F941FC"/>
    <w:rsid w:val="00F9464C"/>
    <w:rsid w:val="00F96D24"/>
    <w:rsid w:val="00F97093"/>
    <w:rsid w:val="00F97FF3"/>
    <w:rsid w:val="00FA0091"/>
    <w:rsid w:val="00FA0437"/>
    <w:rsid w:val="00FA1AA9"/>
    <w:rsid w:val="00FA2C8B"/>
    <w:rsid w:val="00FA3E0C"/>
    <w:rsid w:val="00FA4DBA"/>
    <w:rsid w:val="00FA4F73"/>
    <w:rsid w:val="00FA4FBA"/>
    <w:rsid w:val="00FA5580"/>
    <w:rsid w:val="00FA655A"/>
    <w:rsid w:val="00FA69C3"/>
    <w:rsid w:val="00FA6AAC"/>
    <w:rsid w:val="00FA6CBC"/>
    <w:rsid w:val="00FA6D48"/>
    <w:rsid w:val="00FA7027"/>
    <w:rsid w:val="00FA7775"/>
    <w:rsid w:val="00FA7EC0"/>
    <w:rsid w:val="00FB1729"/>
    <w:rsid w:val="00FB30A2"/>
    <w:rsid w:val="00FB4993"/>
    <w:rsid w:val="00FC072E"/>
    <w:rsid w:val="00FC1364"/>
    <w:rsid w:val="00FC1A1E"/>
    <w:rsid w:val="00FC4323"/>
    <w:rsid w:val="00FC51AE"/>
    <w:rsid w:val="00FC550A"/>
    <w:rsid w:val="00FC551E"/>
    <w:rsid w:val="00FC5790"/>
    <w:rsid w:val="00FC6275"/>
    <w:rsid w:val="00FC62C4"/>
    <w:rsid w:val="00FD039F"/>
    <w:rsid w:val="00FD053B"/>
    <w:rsid w:val="00FD0910"/>
    <w:rsid w:val="00FD0A92"/>
    <w:rsid w:val="00FD0AF0"/>
    <w:rsid w:val="00FD1234"/>
    <w:rsid w:val="00FD18F3"/>
    <w:rsid w:val="00FD194F"/>
    <w:rsid w:val="00FD1995"/>
    <w:rsid w:val="00FD2333"/>
    <w:rsid w:val="00FD25E1"/>
    <w:rsid w:val="00FD4A75"/>
    <w:rsid w:val="00FD54E6"/>
    <w:rsid w:val="00FD5688"/>
    <w:rsid w:val="00FD5725"/>
    <w:rsid w:val="00FD5E1C"/>
    <w:rsid w:val="00FD5F36"/>
    <w:rsid w:val="00FD6624"/>
    <w:rsid w:val="00FD7F6B"/>
    <w:rsid w:val="00FE0948"/>
    <w:rsid w:val="00FE1880"/>
    <w:rsid w:val="00FE27F6"/>
    <w:rsid w:val="00FE3256"/>
    <w:rsid w:val="00FE3F8E"/>
    <w:rsid w:val="00FE445D"/>
    <w:rsid w:val="00FE47ED"/>
    <w:rsid w:val="00FE5101"/>
    <w:rsid w:val="00FE61DC"/>
    <w:rsid w:val="00FE67D0"/>
    <w:rsid w:val="00FE689B"/>
    <w:rsid w:val="00FE7081"/>
    <w:rsid w:val="00FE79CE"/>
    <w:rsid w:val="00FF06FA"/>
    <w:rsid w:val="00FF081E"/>
    <w:rsid w:val="00FF145C"/>
    <w:rsid w:val="00FF26EE"/>
    <w:rsid w:val="00FF28EC"/>
    <w:rsid w:val="00FF47A3"/>
    <w:rsid w:val="00FF4B3F"/>
    <w:rsid w:val="00FF4B43"/>
    <w:rsid w:val="00FF574F"/>
    <w:rsid w:val="0117225E"/>
    <w:rsid w:val="011E42FB"/>
    <w:rsid w:val="012146C6"/>
    <w:rsid w:val="0146655A"/>
    <w:rsid w:val="01B06F91"/>
    <w:rsid w:val="01B54B2B"/>
    <w:rsid w:val="020411DA"/>
    <w:rsid w:val="027619AC"/>
    <w:rsid w:val="0284056C"/>
    <w:rsid w:val="02A81BFD"/>
    <w:rsid w:val="02BF3353"/>
    <w:rsid w:val="030661AE"/>
    <w:rsid w:val="032B09E8"/>
    <w:rsid w:val="035C6062"/>
    <w:rsid w:val="03AE209B"/>
    <w:rsid w:val="0433224A"/>
    <w:rsid w:val="04333FF8"/>
    <w:rsid w:val="043774CE"/>
    <w:rsid w:val="04671920"/>
    <w:rsid w:val="047A39D5"/>
    <w:rsid w:val="048F2197"/>
    <w:rsid w:val="04BA64C7"/>
    <w:rsid w:val="04D07E2C"/>
    <w:rsid w:val="04D1736D"/>
    <w:rsid w:val="04D728EB"/>
    <w:rsid w:val="05424839"/>
    <w:rsid w:val="056D52E8"/>
    <w:rsid w:val="05821997"/>
    <w:rsid w:val="05A515FE"/>
    <w:rsid w:val="05B81536"/>
    <w:rsid w:val="05BB6053"/>
    <w:rsid w:val="05C173E2"/>
    <w:rsid w:val="05C2120F"/>
    <w:rsid w:val="05D9297D"/>
    <w:rsid w:val="05EF315A"/>
    <w:rsid w:val="05F6263F"/>
    <w:rsid w:val="060519C4"/>
    <w:rsid w:val="06175254"/>
    <w:rsid w:val="066418D7"/>
    <w:rsid w:val="0683550F"/>
    <w:rsid w:val="06A116ED"/>
    <w:rsid w:val="06C90DC4"/>
    <w:rsid w:val="06D7510F"/>
    <w:rsid w:val="06E3407D"/>
    <w:rsid w:val="071719AF"/>
    <w:rsid w:val="071D5765"/>
    <w:rsid w:val="077B3B62"/>
    <w:rsid w:val="07F339B8"/>
    <w:rsid w:val="08065580"/>
    <w:rsid w:val="080A0B4A"/>
    <w:rsid w:val="082779D0"/>
    <w:rsid w:val="08435AFA"/>
    <w:rsid w:val="084E7652"/>
    <w:rsid w:val="08687FE8"/>
    <w:rsid w:val="088E5CA1"/>
    <w:rsid w:val="08CC0F44"/>
    <w:rsid w:val="090C7C1B"/>
    <w:rsid w:val="091E5277"/>
    <w:rsid w:val="0926237D"/>
    <w:rsid w:val="09324FA1"/>
    <w:rsid w:val="09430802"/>
    <w:rsid w:val="0995305F"/>
    <w:rsid w:val="09A6701A"/>
    <w:rsid w:val="09A7081A"/>
    <w:rsid w:val="09D75426"/>
    <w:rsid w:val="0A0B4470"/>
    <w:rsid w:val="0A193C90"/>
    <w:rsid w:val="0A5C1B3B"/>
    <w:rsid w:val="0A694FA2"/>
    <w:rsid w:val="0A8360E1"/>
    <w:rsid w:val="0AA572D2"/>
    <w:rsid w:val="0AE9111D"/>
    <w:rsid w:val="0B277754"/>
    <w:rsid w:val="0B3A5C6C"/>
    <w:rsid w:val="0B586581"/>
    <w:rsid w:val="0B8C581D"/>
    <w:rsid w:val="0C0B527D"/>
    <w:rsid w:val="0C112E71"/>
    <w:rsid w:val="0C480C13"/>
    <w:rsid w:val="0C4A6C5B"/>
    <w:rsid w:val="0C4C5587"/>
    <w:rsid w:val="0C7D3CE3"/>
    <w:rsid w:val="0CA05B8A"/>
    <w:rsid w:val="0CA21D1B"/>
    <w:rsid w:val="0CAD0C97"/>
    <w:rsid w:val="0D2C7836"/>
    <w:rsid w:val="0DCC19EB"/>
    <w:rsid w:val="0E0D1416"/>
    <w:rsid w:val="0E237112"/>
    <w:rsid w:val="0E362232"/>
    <w:rsid w:val="0E5A3B85"/>
    <w:rsid w:val="0E614961"/>
    <w:rsid w:val="0E6E6F80"/>
    <w:rsid w:val="0E864564"/>
    <w:rsid w:val="0E947D89"/>
    <w:rsid w:val="0EF37E6B"/>
    <w:rsid w:val="0F2B7FAC"/>
    <w:rsid w:val="0F3F1AA3"/>
    <w:rsid w:val="0F4B4326"/>
    <w:rsid w:val="0F7379A1"/>
    <w:rsid w:val="0F953DB9"/>
    <w:rsid w:val="0FEF171B"/>
    <w:rsid w:val="0FF94323"/>
    <w:rsid w:val="10033123"/>
    <w:rsid w:val="10085F0D"/>
    <w:rsid w:val="10895B98"/>
    <w:rsid w:val="108D4A90"/>
    <w:rsid w:val="11535CDA"/>
    <w:rsid w:val="11603F53"/>
    <w:rsid w:val="117B00BB"/>
    <w:rsid w:val="11906ABF"/>
    <w:rsid w:val="11DE629C"/>
    <w:rsid w:val="11EF4015"/>
    <w:rsid w:val="11F0177A"/>
    <w:rsid w:val="11F8062F"/>
    <w:rsid w:val="11F823DD"/>
    <w:rsid w:val="12145696"/>
    <w:rsid w:val="1221707B"/>
    <w:rsid w:val="123804E3"/>
    <w:rsid w:val="124B25C4"/>
    <w:rsid w:val="12527D3F"/>
    <w:rsid w:val="127B6A48"/>
    <w:rsid w:val="130B7EEE"/>
    <w:rsid w:val="13160D6D"/>
    <w:rsid w:val="13166FBF"/>
    <w:rsid w:val="132D4308"/>
    <w:rsid w:val="135D4BEE"/>
    <w:rsid w:val="13695D6B"/>
    <w:rsid w:val="1379754E"/>
    <w:rsid w:val="13951B3B"/>
    <w:rsid w:val="13955CCA"/>
    <w:rsid w:val="139B3968"/>
    <w:rsid w:val="13C94031"/>
    <w:rsid w:val="13E42467"/>
    <w:rsid w:val="13E858DC"/>
    <w:rsid w:val="13F56BD4"/>
    <w:rsid w:val="149503B7"/>
    <w:rsid w:val="149C69A2"/>
    <w:rsid w:val="14CA6F83"/>
    <w:rsid w:val="14E76E65"/>
    <w:rsid w:val="15250FCE"/>
    <w:rsid w:val="157F1C29"/>
    <w:rsid w:val="15973498"/>
    <w:rsid w:val="15D9463E"/>
    <w:rsid w:val="15FA2CEF"/>
    <w:rsid w:val="161A1EE6"/>
    <w:rsid w:val="16346F4D"/>
    <w:rsid w:val="1642631D"/>
    <w:rsid w:val="164756E1"/>
    <w:rsid w:val="164D032E"/>
    <w:rsid w:val="16A448E1"/>
    <w:rsid w:val="16D056D6"/>
    <w:rsid w:val="16D72F09"/>
    <w:rsid w:val="17465999"/>
    <w:rsid w:val="178105D0"/>
    <w:rsid w:val="17C23BCE"/>
    <w:rsid w:val="17D85CF7"/>
    <w:rsid w:val="17D86F39"/>
    <w:rsid w:val="17FD074D"/>
    <w:rsid w:val="17FF3F07"/>
    <w:rsid w:val="18416158"/>
    <w:rsid w:val="184B784A"/>
    <w:rsid w:val="18661FE2"/>
    <w:rsid w:val="188B725D"/>
    <w:rsid w:val="189664AC"/>
    <w:rsid w:val="18B12304"/>
    <w:rsid w:val="18B1666B"/>
    <w:rsid w:val="18CA16E8"/>
    <w:rsid w:val="19642A6B"/>
    <w:rsid w:val="198E1224"/>
    <w:rsid w:val="19A60971"/>
    <w:rsid w:val="1A8D5260"/>
    <w:rsid w:val="1A8E14B4"/>
    <w:rsid w:val="1A9F3D91"/>
    <w:rsid w:val="1B325F2A"/>
    <w:rsid w:val="1B3B21F7"/>
    <w:rsid w:val="1B766601"/>
    <w:rsid w:val="1B824429"/>
    <w:rsid w:val="1BB27AA1"/>
    <w:rsid w:val="1BD242F9"/>
    <w:rsid w:val="1BFE4E13"/>
    <w:rsid w:val="1C2A5889"/>
    <w:rsid w:val="1C3F5422"/>
    <w:rsid w:val="1C821221"/>
    <w:rsid w:val="1C927A29"/>
    <w:rsid w:val="1C9816DF"/>
    <w:rsid w:val="1CA13D9D"/>
    <w:rsid w:val="1CBC46C3"/>
    <w:rsid w:val="1D303373"/>
    <w:rsid w:val="1D39374C"/>
    <w:rsid w:val="1D5865E0"/>
    <w:rsid w:val="1D69418F"/>
    <w:rsid w:val="1D9025FA"/>
    <w:rsid w:val="1E285DF8"/>
    <w:rsid w:val="1E791917"/>
    <w:rsid w:val="1F02238F"/>
    <w:rsid w:val="1F3824A5"/>
    <w:rsid w:val="1F3F3FCB"/>
    <w:rsid w:val="1F66307C"/>
    <w:rsid w:val="1F9E45C4"/>
    <w:rsid w:val="1FBC4A4A"/>
    <w:rsid w:val="202A40A9"/>
    <w:rsid w:val="202C6073"/>
    <w:rsid w:val="203211B0"/>
    <w:rsid w:val="203912F4"/>
    <w:rsid w:val="203B492A"/>
    <w:rsid w:val="207672EF"/>
    <w:rsid w:val="20A21E92"/>
    <w:rsid w:val="20C64AA1"/>
    <w:rsid w:val="20CB5604"/>
    <w:rsid w:val="20E00C0C"/>
    <w:rsid w:val="219A1B7F"/>
    <w:rsid w:val="21AD6D40"/>
    <w:rsid w:val="21B35FFD"/>
    <w:rsid w:val="21F901D7"/>
    <w:rsid w:val="222D1C2F"/>
    <w:rsid w:val="22725764"/>
    <w:rsid w:val="22E06CA1"/>
    <w:rsid w:val="23295E88"/>
    <w:rsid w:val="235651B5"/>
    <w:rsid w:val="238C0CE3"/>
    <w:rsid w:val="23955CDE"/>
    <w:rsid w:val="23AA6A32"/>
    <w:rsid w:val="23D5316D"/>
    <w:rsid w:val="23EB4A8F"/>
    <w:rsid w:val="24107A5A"/>
    <w:rsid w:val="24134CA3"/>
    <w:rsid w:val="241D1B02"/>
    <w:rsid w:val="244F161C"/>
    <w:rsid w:val="246006EE"/>
    <w:rsid w:val="249A1700"/>
    <w:rsid w:val="24A3234B"/>
    <w:rsid w:val="24CA7C09"/>
    <w:rsid w:val="250A6257"/>
    <w:rsid w:val="251F256B"/>
    <w:rsid w:val="2580651A"/>
    <w:rsid w:val="25AF5921"/>
    <w:rsid w:val="25BF6D86"/>
    <w:rsid w:val="25D868AC"/>
    <w:rsid w:val="25F11338"/>
    <w:rsid w:val="26262B41"/>
    <w:rsid w:val="262D4A7B"/>
    <w:rsid w:val="26647BE9"/>
    <w:rsid w:val="268428AA"/>
    <w:rsid w:val="270D5C4A"/>
    <w:rsid w:val="2749405A"/>
    <w:rsid w:val="27B923E1"/>
    <w:rsid w:val="27CE703E"/>
    <w:rsid w:val="28184E76"/>
    <w:rsid w:val="286A598B"/>
    <w:rsid w:val="286E3BC6"/>
    <w:rsid w:val="287A5DB9"/>
    <w:rsid w:val="28A46A73"/>
    <w:rsid w:val="28C07360"/>
    <w:rsid w:val="28C7187B"/>
    <w:rsid w:val="28DF17A9"/>
    <w:rsid w:val="29050F8C"/>
    <w:rsid w:val="29171045"/>
    <w:rsid w:val="29264CF8"/>
    <w:rsid w:val="294C6E3F"/>
    <w:rsid w:val="29513542"/>
    <w:rsid w:val="29565F0F"/>
    <w:rsid w:val="29915199"/>
    <w:rsid w:val="29A0362E"/>
    <w:rsid w:val="29A46C7B"/>
    <w:rsid w:val="29E4351B"/>
    <w:rsid w:val="2A196F6E"/>
    <w:rsid w:val="2A426494"/>
    <w:rsid w:val="2A7F4FF2"/>
    <w:rsid w:val="2A8E16D9"/>
    <w:rsid w:val="2AB25A1E"/>
    <w:rsid w:val="2AFA5436"/>
    <w:rsid w:val="2B033371"/>
    <w:rsid w:val="2B2F595A"/>
    <w:rsid w:val="2B6C7CBA"/>
    <w:rsid w:val="2BB85FF5"/>
    <w:rsid w:val="2BD01C52"/>
    <w:rsid w:val="2BD737EE"/>
    <w:rsid w:val="2BDF3BA3"/>
    <w:rsid w:val="2BEB6DE3"/>
    <w:rsid w:val="2C240F34"/>
    <w:rsid w:val="2C33223E"/>
    <w:rsid w:val="2C64115C"/>
    <w:rsid w:val="2CBE44F7"/>
    <w:rsid w:val="2CC118F2"/>
    <w:rsid w:val="2D07409C"/>
    <w:rsid w:val="2D0B54A3"/>
    <w:rsid w:val="2D230138"/>
    <w:rsid w:val="2D4C7CEB"/>
    <w:rsid w:val="2D7C0853"/>
    <w:rsid w:val="2D855015"/>
    <w:rsid w:val="2D945258"/>
    <w:rsid w:val="2D951795"/>
    <w:rsid w:val="2D9663B4"/>
    <w:rsid w:val="2DEE2BBA"/>
    <w:rsid w:val="2E13617D"/>
    <w:rsid w:val="2E25414D"/>
    <w:rsid w:val="2E3116E4"/>
    <w:rsid w:val="2E431003"/>
    <w:rsid w:val="2E8E614B"/>
    <w:rsid w:val="2EA367EC"/>
    <w:rsid w:val="2ECB4CA9"/>
    <w:rsid w:val="2EE54B18"/>
    <w:rsid w:val="2F0B39FA"/>
    <w:rsid w:val="2F2B74F6"/>
    <w:rsid w:val="2F2D0447"/>
    <w:rsid w:val="2F5F6A59"/>
    <w:rsid w:val="2F7E1D1C"/>
    <w:rsid w:val="2F984DAB"/>
    <w:rsid w:val="2FF676D8"/>
    <w:rsid w:val="300801AF"/>
    <w:rsid w:val="30297EA2"/>
    <w:rsid w:val="304A60A2"/>
    <w:rsid w:val="305B1986"/>
    <w:rsid w:val="3063463F"/>
    <w:rsid w:val="30662EDC"/>
    <w:rsid w:val="306A5204"/>
    <w:rsid w:val="308E5894"/>
    <w:rsid w:val="30D34570"/>
    <w:rsid w:val="30DD1375"/>
    <w:rsid w:val="31385456"/>
    <w:rsid w:val="31436D79"/>
    <w:rsid w:val="314C7BB2"/>
    <w:rsid w:val="317C228B"/>
    <w:rsid w:val="31E843A3"/>
    <w:rsid w:val="31F910BA"/>
    <w:rsid w:val="31FC33CC"/>
    <w:rsid w:val="320D3A71"/>
    <w:rsid w:val="324B16F5"/>
    <w:rsid w:val="326F3519"/>
    <w:rsid w:val="327B641F"/>
    <w:rsid w:val="331F3816"/>
    <w:rsid w:val="33705E1F"/>
    <w:rsid w:val="33A15FD9"/>
    <w:rsid w:val="33B45D0C"/>
    <w:rsid w:val="33B67A9F"/>
    <w:rsid w:val="33D068BE"/>
    <w:rsid w:val="340118A2"/>
    <w:rsid w:val="34065AF9"/>
    <w:rsid w:val="340A1DD0"/>
    <w:rsid w:val="348A34B2"/>
    <w:rsid w:val="34B1148A"/>
    <w:rsid w:val="34BE7009"/>
    <w:rsid w:val="34DF40E1"/>
    <w:rsid w:val="34E60A39"/>
    <w:rsid w:val="353B4630"/>
    <w:rsid w:val="35670EB9"/>
    <w:rsid w:val="359B1849"/>
    <w:rsid w:val="35B446E9"/>
    <w:rsid w:val="35BE324A"/>
    <w:rsid w:val="35DA410B"/>
    <w:rsid w:val="360C39CB"/>
    <w:rsid w:val="36174732"/>
    <w:rsid w:val="36321AB2"/>
    <w:rsid w:val="3641098E"/>
    <w:rsid w:val="36413AA3"/>
    <w:rsid w:val="364E234B"/>
    <w:rsid w:val="369E0A48"/>
    <w:rsid w:val="36AC4AAE"/>
    <w:rsid w:val="36BD4910"/>
    <w:rsid w:val="36D130B5"/>
    <w:rsid w:val="36DC21A6"/>
    <w:rsid w:val="370E409C"/>
    <w:rsid w:val="371E4495"/>
    <w:rsid w:val="373F4487"/>
    <w:rsid w:val="37515F68"/>
    <w:rsid w:val="37D50947"/>
    <w:rsid w:val="37D83F93"/>
    <w:rsid w:val="37F83D4F"/>
    <w:rsid w:val="37F94729"/>
    <w:rsid w:val="380A2A7F"/>
    <w:rsid w:val="381855C7"/>
    <w:rsid w:val="387119AC"/>
    <w:rsid w:val="389E0976"/>
    <w:rsid w:val="38B34F5D"/>
    <w:rsid w:val="38C20ECB"/>
    <w:rsid w:val="38D806EF"/>
    <w:rsid w:val="39224359"/>
    <w:rsid w:val="39382F3B"/>
    <w:rsid w:val="39565AB7"/>
    <w:rsid w:val="39836BEC"/>
    <w:rsid w:val="39A95BE7"/>
    <w:rsid w:val="3AC21656"/>
    <w:rsid w:val="3B0E03F8"/>
    <w:rsid w:val="3B1740CA"/>
    <w:rsid w:val="3B3079F6"/>
    <w:rsid w:val="3B3B1950"/>
    <w:rsid w:val="3B461DC0"/>
    <w:rsid w:val="3B5129DA"/>
    <w:rsid w:val="3B9F52CB"/>
    <w:rsid w:val="3BDA652C"/>
    <w:rsid w:val="3C3E6869"/>
    <w:rsid w:val="3C45343F"/>
    <w:rsid w:val="3C6127A9"/>
    <w:rsid w:val="3C7C70D7"/>
    <w:rsid w:val="3C8F68C7"/>
    <w:rsid w:val="3CB12751"/>
    <w:rsid w:val="3CC3151E"/>
    <w:rsid w:val="3CD71855"/>
    <w:rsid w:val="3CDB255C"/>
    <w:rsid w:val="3CDF3135"/>
    <w:rsid w:val="3CEB5E4A"/>
    <w:rsid w:val="3D333210"/>
    <w:rsid w:val="3D6469F5"/>
    <w:rsid w:val="3D6E33D0"/>
    <w:rsid w:val="3DBF3C2B"/>
    <w:rsid w:val="3DCB25D0"/>
    <w:rsid w:val="3DFD6502"/>
    <w:rsid w:val="3E786C82"/>
    <w:rsid w:val="3EE8492E"/>
    <w:rsid w:val="3F1E4982"/>
    <w:rsid w:val="3F386947"/>
    <w:rsid w:val="3F516B05"/>
    <w:rsid w:val="3F9904AC"/>
    <w:rsid w:val="3F9C54CF"/>
    <w:rsid w:val="3FB269C3"/>
    <w:rsid w:val="3FBA3465"/>
    <w:rsid w:val="3FC92B3F"/>
    <w:rsid w:val="408670A6"/>
    <w:rsid w:val="40A23390"/>
    <w:rsid w:val="40A47108"/>
    <w:rsid w:val="40F1057F"/>
    <w:rsid w:val="410061AC"/>
    <w:rsid w:val="41437CB1"/>
    <w:rsid w:val="41571D6E"/>
    <w:rsid w:val="41792343"/>
    <w:rsid w:val="418807D8"/>
    <w:rsid w:val="41C9151C"/>
    <w:rsid w:val="4224533E"/>
    <w:rsid w:val="422E0FAE"/>
    <w:rsid w:val="423637BF"/>
    <w:rsid w:val="423F5E22"/>
    <w:rsid w:val="42613503"/>
    <w:rsid w:val="42843695"/>
    <w:rsid w:val="428B1219"/>
    <w:rsid w:val="42984E79"/>
    <w:rsid w:val="42D27F5D"/>
    <w:rsid w:val="42D9648D"/>
    <w:rsid w:val="4334251D"/>
    <w:rsid w:val="43E80C28"/>
    <w:rsid w:val="443469F5"/>
    <w:rsid w:val="446A710E"/>
    <w:rsid w:val="447C2876"/>
    <w:rsid w:val="44B52584"/>
    <w:rsid w:val="44BC0EC5"/>
    <w:rsid w:val="44D870ED"/>
    <w:rsid w:val="44FC113D"/>
    <w:rsid w:val="45806396"/>
    <w:rsid w:val="45945BCE"/>
    <w:rsid w:val="45EF32B4"/>
    <w:rsid w:val="46050649"/>
    <w:rsid w:val="46244F73"/>
    <w:rsid w:val="46CD7EB5"/>
    <w:rsid w:val="46EE65B3"/>
    <w:rsid w:val="470E79D1"/>
    <w:rsid w:val="472520E8"/>
    <w:rsid w:val="474271A0"/>
    <w:rsid w:val="477B4DB0"/>
    <w:rsid w:val="47855EE6"/>
    <w:rsid w:val="47981173"/>
    <w:rsid w:val="47996EAD"/>
    <w:rsid w:val="479D7974"/>
    <w:rsid w:val="47DA4083"/>
    <w:rsid w:val="4809553C"/>
    <w:rsid w:val="48516729"/>
    <w:rsid w:val="488C71A3"/>
    <w:rsid w:val="48D43EA7"/>
    <w:rsid w:val="48D66DE4"/>
    <w:rsid w:val="48EB7FCA"/>
    <w:rsid w:val="49137521"/>
    <w:rsid w:val="492139EC"/>
    <w:rsid w:val="497A3D4B"/>
    <w:rsid w:val="498779AB"/>
    <w:rsid w:val="49A54F48"/>
    <w:rsid w:val="49AD702E"/>
    <w:rsid w:val="49B22896"/>
    <w:rsid w:val="49C113FF"/>
    <w:rsid w:val="49FB336A"/>
    <w:rsid w:val="4A1A5F48"/>
    <w:rsid w:val="4A2F2139"/>
    <w:rsid w:val="4A621B5A"/>
    <w:rsid w:val="4A7E3AC7"/>
    <w:rsid w:val="4A977366"/>
    <w:rsid w:val="4AB10DA0"/>
    <w:rsid w:val="4ADA11A0"/>
    <w:rsid w:val="4AE37EC1"/>
    <w:rsid w:val="4B125CE2"/>
    <w:rsid w:val="4B4E7EC4"/>
    <w:rsid w:val="4B58121B"/>
    <w:rsid w:val="4B970143"/>
    <w:rsid w:val="4BB249FA"/>
    <w:rsid w:val="4BC347F9"/>
    <w:rsid w:val="4BF03461"/>
    <w:rsid w:val="4C0008DC"/>
    <w:rsid w:val="4C660202"/>
    <w:rsid w:val="4CFD651E"/>
    <w:rsid w:val="4D1670FC"/>
    <w:rsid w:val="4DB85903"/>
    <w:rsid w:val="4E352C84"/>
    <w:rsid w:val="4E636855"/>
    <w:rsid w:val="4E7740AE"/>
    <w:rsid w:val="4E79582B"/>
    <w:rsid w:val="4E8D38D2"/>
    <w:rsid w:val="4EAA4484"/>
    <w:rsid w:val="4EAB5A92"/>
    <w:rsid w:val="4EBA2D91"/>
    <w:rsid w:val="4F672375"/>
    <w:rsid w:val="4FEC07C0"/>
    <w:rsid w:val="50687B4B"/>
    <w:rsid w:val="50837E99"/>
    <w:rsid w:val="508677F2"/>
    <w:rsid w:val="511F1731"/>
    <w:rsid w:val="51291620"/>
    <w:rsid w:val="51537C39"/>
    <w:rsid w:val="515C1201"/>
    <w:rsid w:val="517B3066"/>
    <w:rsid w:val="51CE2237"/>
    <w:rsid w:val="51CF545D"/>
    <w:rsid w:val="51D830B6"/>
    <w:rsid w:val="51EE0E8B"/>
    <w:rsid w:val="52587BD1"/>
    <w:rsid w:val="525C0F0C"/>
    <w:rsid w:val="52717B53"/>
    <w:rsid w:val="53344EC1"/>
    <w:rsid w:val="53426A39"/>
    <w:rsid w:val="53556B3B"/>
    <w:rsid w:val="535E75EB"/>
    <w:rsid w:val="5369210C"/>
    <w:rsid w:val="53913A4D"/>
    <w:rsid w:val="53B57275"/>
    <w:rsid w:val="53DC50DF"/>
    <w:rsid w:val="53EE6BC1"/>
    <w:rsid w:val="540153AA"/>
    <w:rsid w:val="54210D44"/>
    <w:rsid w:val="542909DD"/>
    <w:rsid w:val="5435659E"/>
    <w:rsid w:val="546D3EF1"/>
    <w:rsid w:val="54813591"/>
    <w:rsid w:val="54D8431C"/>
    <w:rsid w:val="55207F80"/>
    <w:rsid w:val="55287EB0"/>
    <w:rsid w:val="553B7BE4"/>
    <w:rsid w:val="558E2DF0"/>
    <w:rsid w:val="55C71477"/>
    <w:rsid w:val="55F04DAA"/>
    <w:rsid w:val="561E5302"/>
    <w:rsid w:val="56336B0D"/>
    <w:rsid w:val="56396002"/>
    <w:rsid w:val="566B2EE5"/>
    <w:rsid w:val="568B29F9"/>
    <w:rsid w:val="56B566F3"/>
    <w:rsid w:val="572B714D"/>
    <w:rsid w:val="574865E8"/>
    <w:rsid w:val="574B7E86"/>
    <w:rsid w:val="574C5332"/>
    <w:rsid w:val="57A53A3A"/>
    <w:rsid w:val="57BD0C66"/>
    <w:rsid w:val="57F55EB3"/>
    <w:rsid w:val="581356E9"/>
    <w:rsid w:val="58236A15"/>
    <w:rsid w:val="58321EC6"/>
    <w:rsid w:val="584A0389"/>
    <w:rsid w:val="586757C9"/>
    <w:rsid w:val="588E2E54"/>
    <w:rsid w:val="58CB74D0"/>
    <w:rsid w:val="58FC706B"/>
    <w:rsid w:val="590B5B1F"/>
    <w:rsid w:val="592D710E"/>
    <w:rsid w:val="5952757D"/>
    <w:rsid w:val="5954396A"/>
    <w:rsid w:val="59CB0374"/>
    <w:rsid w:val="59D61D59"/>
    <w:rsid w:val="59F46672"/>
    <w:rsid w:val="5A025174"/>
    <w:rsid w:val="5A68338C"/>
    <w:rsid w:val="5A6C083F"/>
    <w:rsid w:val="5A7C1BE0"/>
    <w:rsid w:val="5A871B1D"/>
    <w:rsid w:val="5ABE706E"/>
    <w:rsid w:val="5ADC7773"/>
    <w:rsid w:val="5AE4089D"/>
    <w:rsid w:val="5AE91E90"/>
    <w:rsid w:val="5AF07244"/>
    <w:rsid w:val="5B144CC5"/>
    <w:rsid w:val="5B156E77"/>
    <w:rsid w:val="5B6D2AC1"/>
    <w:rsid w:val="5B726329"/>
    <w:rsid w:val="5BCE5E90"/>
    <w:rsid w:val="5BD112A2"/>
    <w:rsid w:val="5BF018C0"/>
    <w:rsid w:val="5C181518"/>
    <w:rsid w:val="5C205D85"/>
    <w:rsid w:val="5C25514A"/>
    <w:rsid w:val="5C463CBF"/>
    <w:rsid w:val="5C7B7423"/>
    <w:rsid w:val="5CC83530"/>
    <w:rsid w:val="5CCB5CF1"/>
    <w:rsid w:val="5CF61401"/>
    <w:rsid w:val="5D325D70"/>
    <w:rsid w:val="5D3D49C1"/>
    <w:rsid w:val="5D537A94"/>
    <w:rsid w:val="5D652999"/>
    <w:rsid w:val="5D99435E"/>
    <w:rsid w:val="5DC02B3E"/>
    <w:rsid w:val="5E062D59"/>
    <w:rsid w:val="5E2A6A47"/>
    <w:rsid w:val="5E321F25"/>
    <w:rsid w:val="5E484610"/>
    <w:rsid w:val="5E4F0557"/>
    <w:rsid w:val="5E643D94"/>
    <w:rsid w:val="5E79352B"/>
    <w:rsid w:val="5EA26B50"/>
    <w:rsid w:val="5EA54320"/>
    <w:rsid w:val="5EA860B5"/>
    <w:rsid w:val="5EEC4F2C"/>
    <w:rsid w:val="5F954394"/>
    <w:rsid w:val="5FDA624B"/>
    <w:rsid w:val="60032F94"/>
    <w:rsid w:val="601C6864"/>
    <w:rsid w:val="604A517F"/>
    <w:rsid w:val="604D7180"/>
    <w:rsid w:val="60825C6A"/>
    <w:rsid w:val="60A16616"/>
    <w:rsid w:val="60AE2A60"/>
    <w:rsid w:val="60AF410C"/>
    <w:rsid w:val="61113EEE"/>
    <w:rsid w:val="61197766"/>
    <w:rsid w:val="61281730"/>
    <w:rsid w:val="6138147B"/>
    <w:rsid w:val="61C3343B"/>
    <w:rsid w:val="627625F6"/>
    <w:rsid w:val="62A25BF3"/>
    <w:rsid w:val="62A3542F"/>
    <w:rsid w:val="62A52B40"/>
    <w:rsid w:val="62BA4CC0"/>
    <w:rsid w:val="63025B9A"/>
    <w:rsid w:val="639037F0"/>
    <w:rsid w:val="63D35339"/>
    <w:rsid w:val="640D429F"/>
    <w:rsid w:val="643B47D5"/>
    <w:rsid w:val="64430863"/>
    <w:rsid w:val="644D7933"/>
    <w:rsid w:val="646F1658"/>
    <w:rsid w:val="64A15589"/>
    <w:rsid w:val="64B21544"/>
    <w:rsid w:val="64B61035"/>
    <w:rsid w:val="6516510E"/>
    <w:rsid w:val="65A04493"/>
    <w:rsid w:val="65B05485"/>
    <w:rsid w:val="65C77BFA"/>
    <w:rsid w:val="65D75FAE"/>
    <w:rsid w:val="660D1128"/>
    <w:rsid w:val="660E4375"/>
    <w:rsid w:val="664375E8"/>
    <w:rsid w:val="665F3BAB"/>
    <w:rsid w:val="66633CE5"/>
    <w:rsid w:val="666B09B5"/>
    <w:rsid w:val="667D5860"/>
    <w:rsid w:val="66885224"/>
    <w:rsid w:val="66A15D14"/>
    <w:rsid w:val="66F754CC"/>
    <w:rsid w:val="670D73F8"/>
    <w:rsid w:val="671A5B7D"/>
    <w:rsid w:val="67671FEA"/>
    <w:rsid w:val="67685782"/>
    <w:rsid w:val="6769551A"/>
    <w:rsid w:val="67831B8E"/>
    <w:rsid w:val="67CE2B39"/>
    <w:rsid w:val="68016A6B"/>
    <w:rsid w:val="683230C8"/>
    <w:rsid w:val="683A01CF"/>
    <w:rsid w:val="68834BBC"/>
    <w:rsid w:val="68D30AA0"/>
    <w:rsid w:val="68D35393"/>
    <w:rsid w:val="68D357B0"/>
    <w:rsid w:val="68E32614"/>
    <w:rsid w:val="68F03B55"/>
    <w:rsid w:val="692E3F3D"/>
    <w:rsid w:val="695A1090"/>
    <w:rsid w:val="696A086B"/>
    <w:rsid w:val="696B5AC8"/>
    <w:rsid w:val="698E2580"/>
    <w:rsid w:val="69D00DEB"/>
    <w:rsid w:val="69D4537F"/>
    <w:rsid w:val="69DF102E"/>
    <w:rsid w:val="6A152000"/>
    <w:rsid w:val="6A694D9B"/>
    <w:rsid w:val="6A6B1379"/>
    <w:rsid w:val="6A944F86"/>
    <w:rsid w:val="6AAD4C88"/>
    <w:rsid w:val="6AF723A7"/>
    <w:rsid w:val="6BA20565"/>
    <w:rsid w:val="6BB718F2"/>
    <w:rsid w:val="6BF33C34"/>
    <w:rsid w:val="6C57134F"/>
    <w:rsid w:val="6C5D623A"/>
    <w:rsid w:val="6CB91D72"/>
    <w:rsid w:val="6CBD050F"/>
    <w:rsid w:val="6CBF0CA2"/>
    <w:rsid w:val="6CC05D86"/>
    <w:rsid w:val="6CD02EB0"/>
    <w:rsid w:val="6CDB1F80"/>
    <w:rsid w:val="6D0325B4"/>
    <w:rsid w:val="6D1E3C1B"/>
    <w:rsid w:val="6D6C0E2A"/>
    <w:rsid w:val="6D9B170F"/>
    <w:rsid w:val="6DC9002B"/>
    <w:rsid w:val="6DE2636F"/>
    <w:rsid w:val="6E1D0376"/>
    <w:rsid w:val="6E8506AC"/>
    <w:rsid w:val="6E971ED7"/>
    <w:rsid w:val="6EAC5256"/>
    <w:rsid w:val="6EC41959"/>
    <w:rsid w:val="6EC85676"/>
    <w:rsid w:val="6F265009"/>
    <w:rsid w:val="6F2C102A"/>
    <w:rsid w:val="6F6C1DAC"/>
    <w:rsid w:val="6F827F9F"/>
    <w:rsid w:val="6F95635E"/>
    <w:rsid w:val="6FE07C0F"/>
    <w:rsid w:val="70843425"/>
    <w:rsid w:val="708B6CE2"/>
    <w:rsid w:val="70A94B48"/>
    <w:rsid w:val="70CA3C94"/>
    <w:rsid w:val="70E92792"/>
    <w:rsid w:val="710140E2"/>
    <w:rsid w:val="7130580C"/>
    <w:rsid w:val="71C9673F"/>
    <w:rsid w:val="71EA0570"/>
    <w:rsid w:val="72161365"/>
    <w:rsid w:val="7218332F"/>
    <w:rsid w:val="722A690B"/>
    <w:rsid w:val="728B1D53"/>
    <w:rsid w:val="72C54B39"/>
    <w:rsid w:val="72EB27F1"/>
    <w:rsid w:val="732E2674"/>
    <w:rsid w:val="73393A7E"/>
    <w:rsid w:val="73467A28"/>
    <w:rsid w:val="739C3AEB"/>
    <w:rsid w:val="739E3724"/>
    <w:rsid w:val="73C31BFC"/>
    <w:rsid w:val="73D414D7"/>
    <w:rsid w:val="73E55492"/>
    <w:rsid w:val="741F6D98"/>
    <w:rsid w:val="742835D1"/>
    <w:rsid w:val="746D7236"/>
    <w:rsid w:val="747B7BA5"/>
    <w:rsid w:val="747D6599"/>
    <w:rsid w:val="74842EFD"/>
    <w:rsid w:val="74E3311F"/>
    <w:rsid w:val="752E10BB"/>
    <w:rsid w:val="7533222E"/>
    <w:rsid w:val="75645ACD"/>
    <w:rsid w:val="75917B29"/>
    <w:rsid w:val="75BF1D13"/>
    <w:rsid w:val="75DF0C59"/>
    <w:rsid w:val="75F201FB"/>
    <w:rsid w:val="75F575B2"/>
    <w:rsid w:val="76091A83"/>
    <w:rsid w:val="7636795F"/>
    <w:rsid w:val="765B5EE0"/>
    <w:rsid w:val="76D10E3F"/>
    <w:rsid w:val="76E01F41"/>
    <w:rsid w:val="770A1D8A"/>
    <w:rsid w:val="771F6F0D"/>
    <w:rsid w:val="7733288D"/>
    <w:rsid w:val="77381D7D"/>
    <w:rsid w:val="776F42E7"/>
    <w:rsid w:val="77901832"/>
    <w:rsid w:val="77E471E7"/>
    <w:rsid w:val="78231052"/>
    <w:rsid w:val="784840CF"/>
    <w:rsid w:val="786B73C0"/>
    <w:rsid w:val="787212BF"/>
    <w:rsid w:val="78991D6F"/>
    <w:rsid w:val="78B813C8"/>
    <w:rsid w:val="78E632BF"/>
    <w:rsid w:val="78EC1071"/>
    <w:rsid w:val="78F9372E"/>
    <w:rsid w:val="79281E3A"/>
    <w:rsid w:val="794157FA"/>
    <w:rsid w:val="794E3974"/>
    <w:rsid w:val="7956298E"/>
    <w:rsid w:val="7961380D"/>
    <w:rsid w:val="7984574E"/>
    <w:rsid w:val="79951709"/>
    <w:rsid w:val="79B7342D"/>
    <w:rsid w:val="79DD144C"/>
    <w:rsid w:val="79F5726A"/>
    <w:rsid w:val="7ABC4A73"/>
    <w:rsid w:val="7AC001C9"/>
    <w:rsid w:val="7AE85868"/>
    <w:rsid w:val="7AF619D9"/>
    <w:rsid w:val="7AFC477A"/>
    <w:rsid w:val="7B1E008A"/>
    <w:rsid w:val="7B2E60AC"/>
    <w:rsid w:val="7BC02341"/>
    <w:rsid w:val="7BE820AF"/>
    <w:rsid w:val="7BEC1E22"/>
    <w:rsid w:val="7C0148BF"/>
    <w:rsid w:val="7C6333F8"/>
    <w:rsid w:val="7CE65DD7"/>
    <w:rsid w:val="7CFB7AD5"/>
    <w:rsid w:val="7D0B4B8D"/>
    <w:rsid w:val="7D15623A"/>
    <w:rsid w:val="7D1F146B"/>
    <w:rsid w:val="7D3C3715"/>
    <w:rsid w:val="7D513339"/>
    <w:rsid w:val="7D7D1955"/>
    <w:rsid w:val="7DB23C95"/>
    <w:rsid w:val="7DC84B0F"/>
    <w:rsid w:val="7E2C3CBE"/>
    <w:rsid w:val="7E33329E"/>
    <w:rsid w:val="7E461224"/>
    <w:rsid w:val="7E470AF8"/>
    <w:rsid w:val="7EB0669D"/>
    <w:rsid w:val="7EBC63B3"/>
    <w:rsid w:val="7EC24C6A"/>
    <w:rsid w:val="7EFF7672"/>
    <w:rsid w:val="7F3379FA"/>
    <w:rsid w:val="7F4671ED"/>
    <w:rsid w:val="7F8873BD"/>
    <w:rsid w:val="7F8E32CD"/>
    <w:rsid w:val="7F9E730E"/>
    <w:rsid w:val="7FC44A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4"/>
    <w:autoRedefine/>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79"/>
    <w:autoRedefine/>
    <w:qFormat/>
    <w:uiPriority w:val="0"/>
    <w:pPr>
      <w:adjustRightInd w:val="0"/>
      <w:jc w:val="center"/>
      <w:textAlignment w:val="baseline"/>
      <w:outlineLvl w:val="1"/>
    </w:pPr>
    <w:rPr>
      <w:kern w:val="0"/>
      <w:sz w:val="24"/>
      <w:szCs w:val="20"/>
    </w:rPr>
  </w:style>
  <w:style w:type="paragraph" w:styleId="3">
    <w:name w:val="heading 3"/>
    <w:basedOn w:val="4"/>
    <w:next w:val="1"/>
    <w:link w:val="63"/>
    <w:autoRedefine/>
    <w:qFormat/>
    <w:uiPriority w:val="9"/>
    <w:pPr>
      <w:spacing w:before="260" w:after="260" w:line="240" w:lineRule="auto"/>
      <w:outlineLvl w:val="2"/>
    </w:pPr>
    <w:rPr>
      <w:rFonts w:ascii="宋体" w:hAnsi="宋体" w:eastAsia="宋体"/>
      <w:szCs w:val="32"/>
    </w:rPr>
  </w:style>
  <w:style w:type="paragraph" w:styleId="4">
    <w:name w:val="heading 4"/>
    <w:basedOn w:val="1"/>
    <w:next w:val="1"/>
    <w:link w:val="61"/>
    <w:autoRedefine/>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88"/>
    <w:autoRedefine/>
    <w:qFormat/>
    <w:uiPriority w:val="0"/>
    <w:pPr>
      <w:keepNext/>
      <w:keepLines/>
      <w:spacing w:before="280" w:after="290" w:line="376" w:lineRule="auto"/>
      <w:outlineLvl w:val="4"/>
    </w:pPr>
    <w:rPr>
      <w:b/>
      <w:sz w:val="28"/>
      <w:szCs w:val="20"/>
    </w:rPr>
  </w:style>
  <w:style w:type="paragraph" w:styleId="8">
    <w:name w:val="heading 6"/>
    <w:basedOn w:val="1"/>
    <w:next w:val="7"/>
    <w:link w:val="91"/>
    <w:autoRedefine/>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92"/>
    <w:autoRedefine/>
    <w:qFormat/>
    <w:uiPriority w:val="0"/>
    <w:pPr>
      <w:keepNext/>
      <w:keepLines/>
      <w:spacing w:before="240" w:after="64" w:line="320" w:lineRule="auto"/>
      <w:outlineLvl w:val="6"/>
    </w:pPr>
    <w:rPr>
      <w:b/>
      <w:sz w:val="24"/>
      <w:szCs w:val="20"/>
    </w:rPr>
  </w:style>
  <w:style w:type="paragraph" w:styleId="10">
    <w:name w:val="heading 8"/>
    <w:basedOn w:val="1"/>
    <w:next w:val="7"/>
    <w:link w:val="93"/>
    <w:autoRedefine/>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94"/>
    <w:autoRedefine/>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5"/>
    <w:autoRedefine/>
    <w:qFormat/>
    <w:uiPriority w:val="0"/>
    <w:pPr>
      <w:ind w:firstLine="420"/>
    </w:pPr>
    <w:rPr>
      <w:szCs w:val="20"/>
    </w:rPr>
  </w:style>
  <w:style w:type="paragraph" w:styleId="12">
    <w:name w:val="toc 7"/>
    <w:basedOn w:val="1"/>
    <w:next w:val="1"/>
    <w:autoRedefine/>
    <w:semiHidden/>
    <w:qFormat/>
    <w:uiPriority w:val="0"/>
    <w:pPr>
      <w:ind w:left="1260"/>
      <w:jc w:val="left"/>
    </w:pPr>
    <w:rPr>
      <w:szCs w:val="21"/>
    </w:rPr>
  </w:style>
  <w:style w:type="paragraph" w:styleId="13">
    <w:name w:val="caption"/>
    <w:basedOn w:val="1"/>
    <w:next w:val="1"/>
    <w:autoRedefine/>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autoRedefine/>
    <w:qFormat/>
    <w:uiPriority w:val="0"/>
    <w:pPr>
      <w:numPr>
        <w:ilvl w:val="0"/>
        <w:numId w:val="1"/>
      </w:numPr>
    </w:pPr>
    <w:rPr>
      <w:szCs w:val="20"/>
    </w:rPr>
  </w:style>
  <w:style w:type="paragraph" w:styleId="15">
    <w:name w:val="Document Map"/>
    <w:basedOn w:val="1"/>
    <w:autoRedefine/>
    <w:semiHidden/>
    <w:qFormat/>
    <w:uiPriority w:val="0"/>
    <w:pPr>
      <w:shd w:val="clear" w:color="auto" w:fill="000080"/>
    </w:pPr>
  </w:style>
  <w:style w:type="paragraph" w:styleId="16">
    <w:name w:val="annotation text"/>
    <w:basedOn w:val="1"/>
    <w:link w:val="192"/>
    <w:autoRedefine/>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106"/>
    <w:autoRedefine/>
    <w:qFormat/>
    <w:uiPriority w:val="0"/>
    <w:pPr>
      <w:spacing w:after="120"/>
    </w:pPr>
    <w:rPr>
      <w:sz w:val="16"/>
      <w:szCs w:val="16"/>
    </w:rPr>
  </w:style>
  <w:style w:type="paragraph" w:styleId="18">
    <w:name w:val="Body Text"/>
    <w:basedOn w:val="1"/>
    <w:next w:val="19"/>
    <w:link w:val="100"/>
    <w:autoRedefine/>
    <w:qFormat/>
    <w:uiPriority w:val="0"/>
    <w:pPr>
      <w:spacing w:line="360" w:lineRule="auto"/>
    </w:pPr>
    <w:rPr>
      <w:b/>
      <w:bCs/>
      <w:sz w:val="24"/>
    </w:rPr>
  </w:style>
  <w:style w:type="paragraph" w:styleId="19">
    <w:name w:val="Body Text 2"/>
    <w:basedOn w:val="1"/>
    <w:link w:val="104"/>
    <w:autoRedefine/>
    <w:qFormat/>
    <w:uiPriority w:val="0"/>
    <w:pPr>
      <w:spacing w:line="360" w:lineRule="auto"/>
    </w:pPr>
    <w:rPr>
      <w:sz w:val="24"/>
    </w:rPr>
  </w:style>
  <w:style w:type="paragraph" w:styleId="20">
    <w:name w:val="Body Text Indent"/>
    <w:basedOn w:val="1"/>
    <w:link w:val="87"/>
    <w:autoRedefine/>
    <w:qFormat/>
    <w:uiPriority w:val="0"/>
    <w:pPr>
      <w:spacing w:line="360" w:lineRule="auto"/>
      <w:ind w:firstLine="420" w:firstLineChars="200"/>
    </w:pPr>
  </w:style>
  <w:style w:type="paragraph" w:styleId="21">
    <w:name w:val="toc 5"/>
    <w:basedOn w:val="1"/>
    <w:next w:val="1"/>
    <w:autoRedefine/>
    <w:semiHidden/>
    <w:qFormat/>
    <w:uiPriority w:val="0"/>
    <w:pPr>
      <w:ind w:left="840"/>
      <w:jc w:val="left"/>
    </w:pPr>
    <w:rPr>
      <w:szCs w:val="21"/>
    </w:rPr>
  </w:style>
  <w:style w:type="paragraph" w:styleId="22">
    <w:name w:val="toc 3"/>
    <w:basedOn w:val="1"/>
    <w:next w:val="1"/>
    <w:autoRedefine/>
    <w:semiHidden/>
    <w:qFormat/>
    <w:uiPriority w:val="0"/>
    <w:pPr>
      <w:ind w:left="420"/>
      <w:jc w:val="left"/>
    </w:pPr>
    <w:rPr>
      <w:i/>
      <w:iCs/>
    </w:rPr>
  </w:style>
  <w:style w:type="paragraph" w:styleId="23">
    <w:name w:val="Plain Text"/>
    <w:basedOn w:val="1"/>
    <w:link w:val="98"/>
    <w:autoRedefine/>
    <w:qFormat/>
    <w:uiPriority w:val="0"/>
    <w:rPr>
      <w:rFonts w:ascii="宋体" w:hAnsi="Courier New"/>
      <w:szCs w:val="20"/>
    </w:rPr>
  </w:style>
  <w:style w:type="paragraph" w:styleId="24">
    <w:name w:val="toc 8"/>
    <w:basedOn w:val="1"/>
    <w:next w:val="1"/>
    <w:autoRedefine/>
    <w:semiHidden/>
    <w:qFormat/>
    <w:uiPriority w:val="0"/>
    <w:pPr>
      <w:ind w:left="1470"/>
      <w:jc w:val="left"/>
    </w:pPr>
    <w:rPr>
      <w:szCs w:val="21"/>
    </w:rPr>
  </w:style>
  <w:style w:type="paragraph" w:styleId="25">
    <w:name w:val="Date"/>
    <w:basedOn w:val="1"/>
    <w:next w:val="1"/>
    <w:link w:val="96"/>
    <w:autoRedefine/>
    <w:qFormat/>
    <w:uiPriority w:val="0"/>
    <w:rPr>
      <w:rFonts w:ascii="宋体" w:hAnsi="Courier New"/>
      <w:sz w:val="32"/>
      <w:szCs w:val="20"/>
    </w:rPr>
  </w:style>
  <w:style w:type="paragraph" w:styleId="26">
    <w:name w:val="Body Text Indent 2"/>
    <w:basedOn w:val="1"/>
    <w:link w:val="101"/>
    <w:autoRedefine/>
    <w:qFormat/>
    <w:uiPriority w:val="0"/>
    <w:pPr>
      <w:spacing w:beforeLines="50" w:afterLines="50" w:line="120" w:lineRule="auto"/>
      <w:ind w:firstLine="840" w:firstLineChars="400"/>
      <w:jc w:val="left"/>
    </w:pPr>
    <w:rPr>
      <w:rFonts w:ascii="宋体" w:hAnsi="宋体"/>
    </w:rPr>
  </w:style>
  <w:style w:type="paragraph" w:styleId="27">
    <w:name w:val="Balloon Text"/>
    <w:basedOn w:val="1"/>
    <w:link w:val="107"/>
    <w:autoRedefine/>
    <w:semiHidden/>
    <w:qFormat/>
    <w:uiPriority w:val="99"/>
    <w:rPr>
      <w:sz w:val="18"/>
      <w:szCs w:val="18"/>
    </w:rPr>
  </w:style>
  <w:style w:type="paragraph" w:styleId="28">
    <w:name w:val="footer"/>
    <w:basedOn w:val="1"/>
    <w:link w:val="105"/>
    <w:autoRedefine/>
    <w:qFormat/>
    <w:uiPriority w:val="0"/>
    <w:pPr>
      <w:tabs>
        <w:tab w:val="center" w:pos="4153"/>
        <w:tab w:val="right" w:pos="8306"/>
      </w:tabs>
      <w:snapToGrid w:val="0"/>
      <w:jc w:val="left"/>
    </w:pPr>
    <w:rPr>
      <w:sz w:val="18"/>
      <w:szCs w:val="18"/>
    </w:rPr>
  </w:style>
  <w:style w:type="paragraph" w:styleId="29">
    <w:name w:val="header"/>
    <w:basedOn w:val="1"/>
    <w:link w:val="102"/>
    <w:autoRedefine/>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0"/>
    <w:pPr>
      <w:spacing w:before="120" w:after="120"/>
      <w:jc w:val="left"/>
    </w:pPr>
    <w:rPr>
      <w:b/>
      <w:bCs/>
      <w:caps/>
    </w:rPr>
  </w:style>
  <w:style w:type="paragraph" w:styleId="31">
    <w:name w:val="toc 4"/>
    <w:basedOn w:val="1"/>
    <w:next w:val="1"/>
    <w:autoRedefine/>
    <w:semiHidden/>
    <w:qFormat/>
    <w:uiPriority w:val="0"/>
    <w:pPr>
      <w:ind w:left="630"/>
      <w:jc w:val="left"/>
    </w:pPr>
    <w:rPr>
      <w:szCs w:val="21"/>
    </w:rPr>
  </w:style>
  <w:style w:type="paragraph" w:styleId="32">
    <w:name w:val="Subtitle"/>
    <w:next w:val="1"/>
    <w:link w:val="317"/>
    <w:autoRedefine/>
    <w:qFormat/>
    <w:uiPriority w:val="0"/>
    <w:pPr>
      <w:wordWrap w:val="0"/>
      <w:spacing w:after="60"/>
      <w:jc w:val="center"/>
    </w:pPr>
    <w:rPr>
      <w:rFonts w:ascii="Calibri" w:hAnsi="Calibri" w:eastAsia="宋体" w:cs="Times New Roman"/>
      <w:sz w:val="24"/>
      <w:lang w:val="en-US" w:eastAsia="zh-CN" w:bidi="ar-SA"/>
    </w:rPr>
  </w:style>
  <w:style w:type="paragraph" w:styleId="33">
    <w:name w:val="toc 6"/>
    <w:basedOn w:val="1"/>
    <w:next w:val="1"/>
    <w:autoRedefine/>
    <w:semiHidden/>
    <w:qFormat/>
    <w:uiPriority w:val="0"/>
    <w:pPr>
      <w:ind w:left="1050"/>
      <w:jc w:val="left"/>
    </w:pPr>
    <w:rPr>
      <w:szCs w:val="21"/>
    </w:rPr>
  </w:style>
  <w:style w:type="paragraph" w:styleId="34">
    <w:name w:val="Body Text Indent 3"/>
    <w:basedOn w:val="1"/>
    <w:link w:val="103"/>
    <w:autoRedefine/>
    <w:qFormat/>
    <w:uiPriority w:val="0"/>
    <w:pPr>
      <w:spacing w:line="360" w:lineRule="auto"/>
      <w:ind w:firstLine="482" w:firstLineChars="200"/>
    </w:pPr>
    <w:rPr>
      <w:rFonts w:ascii="宋体"/>
      <w:b/>
      <w:bCs/>
      <w:sz w:val="24"/>
    </w:rPr>
  </w:style>
  <w:style w:type="paragraph" w:styleId="35">
    <w:name w:val="toc 2"/>
    <w:basedOn w:val="1"/>
    <w:next w:val="1"/>
    <w:autoRedefine/>
    <w:semiHidden/>
    <w:qFormat/>
    <w:uiPriority w:val="0"/>
    <w:pPr>
      <w:tabs>
        <w:tab w:val="right" w:leader="dot" w:pos="8296"/>
      </w:tabs>
      <w:ind w:left="210"/>
      <w:jc w:val="left"/>
    </w:pPr>
    <w:rPr>
      <w:smallCaps/>
    </w:rPr>
  </w:style>
  <w:style w:type="paragraph" w:styleId="36">
    <w:name w:val="toc 9"/>
    <w:basedOn w:val="1"/>
    <w:next w:val="1"/>
    <w:autoRedefine/>
    <w:semiHidden/>
    <w:qFormat/>
    <w:uiPriority w:val="0"/>
    <w:pPr>
      <w:ind w:left="1680"/>
      <w:jc w:val="left"/>
    </w:pPr>
    <w:rPr>
      <w:szCs w:val="21"/>
    </w:rPr>
  </w:style>
  <w:style w:type="paragraph" w:styleId="37">
    <w:name w:val="HTML Preformatted"/>
    <w:basedOn w:val="1"/>
    <w:link w:val="9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autoRedefine/>
    <w:qFormat/>
    <w:uiPriority w:val="99"/>
    <w:pPr>
      <w:spacing w:beforeAutospacing="1" w:afterAutospacing="1"/>
      <w:jc w:val="left"/>
    </w:pPr>
    <w:rPr>
      <w:kern w:val="0"/>
      <w:sz w:val="24"/>
    </w:rPr>
  </w:style>
  <w:style w:type="paragraph" w:styleId="39">
    <w:name w:val="index 1"/>
    <w:basedOn w:val="1"/>
    <w:next w:val="1"/>
    <w:autoRedefine/>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0">
    <w:name w:val="Title"/>
    <w:basedOn w:val="1"/>
    <w:link w:val="95"/>
    <w:autoRedefine/>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193"/>
    <w:autoRedefine/>
    <w:qFormat/>
    <w:uiPriority w:val="99"/>
    <w:pPr>
      <w:autoSpaceDE/>
      <w:autoSpaceDN/>
      <w:adjustRightInd/>
      <w:textAlignment w:val="auto"/>
    </w:pPr>
    <w:rPr>
      <w:rFonts w:ascii="Times New Roman"/>
      <w:b/>
      <w:bCs/>
      <w:kern w:val="2"/>
      <w:sz w:val="21"/>
      <w:szCs w:val="24"/>
    </w:rPr>
  </w:style>
  <w:style w:type="paragraph" w:styleId="42">
    <w:name w:val="Body Text First Indent"/>
    <w:basedOn w:val="18"/>
    <w:link w:val="138"/>
    <w:autoRedefine/>
    <w:qFormat/>
    <w:uiPriority w:val="0"/>
    <w:pPr>
      <w:spacing w:after="120" w:line="240" w:lineRule="auto"/>
      <w:ind w:firstLine="420" w:firstLineChars="100"/>
    </w:pPr>
    <w:rPr>
      <w:sz w:val="21"/>
    </w:r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5">
    <w:name w:val="Table Elegant"/>
    <w:basedOn w:val="43"/>
    <w:autoRedefine/>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autoRedefine/>
    <w:qFormat/>
    <w:uiPriority w:val="0"/>
    <w:rPr>
      <w:b/>
      <w:bCs/>
    </w:rPr>
  </w:style>
  <w:style w:type="character" w:styleId="48">
    <w:name w:val="page number"/>
    <w:basedOn w:val="46"/>
    <w:autoRedefine/>
    <w:qFormat/>
    <w:uiPriority w:val="0"/>
  </w:style>
  <w:style w:type="character" w:styleId="49">
    <w:name w:val="FollowedHyperlink"/>
    <w:autoRedefine/>
    <w:qFormat/>
    <w:uiPriority w:val="0"/>
    <w:rPr>
      <w:color w:val="800080"/>
      <w:u w:val="single"/>
    </w:rPr>
  </w:style>
  <w:style w:type="character" w:styleId="50">
    <w:name w:val="Emphasis"/>
    <w:basedOn w:val="46"/>
    <w:autoRedefine/>
    <w:qFormat/>
    <w:uiPriority w:val="0"/>
    <w:rPr>
      <w:b/>
      <w:bCs/>
      <w:sz w:val="20"/>
    </w:rPr>
  </w:style>
  <w:style w:type="character" w:styleId="51">
    <w:name w:val="HTML Definition"/>
    <w:basedOn w:val="46"/>
    <w:autoRedefine/>
    <w:semiHidden/>
    <w:unhideWhenUsed/>
    <w:qFormat/>
    <w:uiPriority w:val="0"/>
  </w:style>
  <w:style w:type="character" w:styleId="52">
    <w:name w:val="HTML Typewriter"/>
    <w:basedOn w:val="46"/>
    <w:autoRedefine/>
    <w:semiHidden/>
    <w:unhideWhenUsed/>
    <w:qFormat/>
    <w:uiPriority w:val="0"/>
    <w:rPr>
      <w:rFonts w:hint="default" w:ascii="monospace" w:hAnsi="monospace" w:eastAsia="monospace" w:cs="monospace"/>
      <w:sz w:val="20"/>
    </w:rPr>
  </w:style>
  <w:style w:type="character" w:styleId="53">
    <w:name w:val="HTML Acronym"/>
    <w:basedOn w:val="46"/>
    <w:autoRedefine/>
    <w:semiHidden/>
    <w:unhideWhenUsed/>
    <w:qFormat/>
    <w:uiPriority w:val="0"/>
  </w:style>
  <w:style w:type="character" w:styleId="54">
    <w:name w:val="HTML Variable"/>
    <w:basedOn w:val="46"/>
    <w:autoRedefine/>
    <w:semiHidden/>
    <w:unhideWhenUsed/>
    <w:qFormat/>
    <w:uiPriority w:val="0"/>
  </w:style>
  <w:style w:type="character" w:styleId="55">
    <w:name w:val="Hyperlink"/>
    <w:autoRedefine/>
    <w:qFormat/>
    <w:uiPriority w:val="99"/>
    <w:rPr>
      <w:color w:val="0000FF"/>
      <w:u w:val="single"/>
    </w:rPr>
  </w:style>
  <w:style w:type="character" w:styleId="56">
    <w:name w:val="HTML Code"/>
    <w:basedOn w:val="46"/>
    <w:autoRedefine/>
    <w:semiHidden/>
    <w:unhideWhenUsed/>
    <w:qFormat/>
    <w:uiPriority w:val="0"/>
    <w:rPr>
      <w:rFonts w:hint="default" w:ascii="monospace" w:hAnsi="monospace" w:eastAsia="monospace" w:cs="monospace"/>
      <w:sz w:val="20"/>
    </w:rPr>
  </w:style>
  <w:style w:type="character" w:styleId="57">
    <w:name w:val="annotation reference"/>
    <w:basedOn w:val="46"/>
    <w:autoRedefine/>
    <w:qFormat/>
    <w:uiPriority w:val="99"/>
    <w:rPr>
      <w:sz w:val="21"/>
      <w:szCs w:val="21"/>
    </w:rPr>
  </w:style>
  <w:style w:type="character" w:styleId="58">
    <w:name w:val="HTML Cite"/>
    <w:basedOn w:val="46"/>
    <w:autoRedefine/>
    <w:semiHidden/>
    <w:unhideWhenUsed/>
    <w:qFormat/>
    <w:uiPriority w:val="0"/>
  </w:style>
  <w:style w:type="character" w:styleId="59">
    <w:name w:val="HTML Keyboard"/>
    <w:basedOn w:val="46"/>
    <w:autoRedefine/>
    <w:semiHidden/>
    <w:unhideWhenUsed/>
    <w:qFormat/>
    <w:uiPriority w:val="0"/>
    <w:rPr>
      <w:rFonts w:hint="default" w:ascii="monospace" w:hAnsi="monospace" w:eastAsia="monospace" w:cs="monospace"/>
      <w:sz w:val="20"/>
    </w:rPr>
  </w:style>
  <w:style w:type="character" w:styleId="60">
    <w:name w:val="HTML Sample"/>
    <w:basedOn w:val="46"/>
    <w:autoRedefine/>
    <w:semiHidden/>
    <w:unhideWhenUsed/>
    <w:qFormat/>
    <w:uiPriority w:val="0"/>
    <w:rPr>
      <w:rFonts w:ascii="monospace" w:hAnsi="monospace" w:eastAsia="monospace" w:cs="monospace"/>
    </w:rPr>
  </w:style>
  <w:style w:type="character" w:customStyle="1" w:styleId="61">
    <w:name w:val="标题 4 Char"/>
    <w:link w:val="4"/>
    <w:autoRedefine/>
    <w:qFormat/>
    <w:uiPriority w:val="9"/>
    <w:rPr>
      <w:rFonts w:ascii="Arial" w:hAnsi="Arial" w:eastAsia="黑体"/>
      <w:b/>
      <w:bCs/>
      <w:kern w:val="2"/>
      <w:sz w:val="28"/>
      <w:szCs w:val="28"/>
      <w:lang w:val="en-US" w:eastAsia="zh-CN" w:bidi="ar-SA"/>
    </w:rPr>
  </w:style>
  <w:style w:type="paragraph" w:customStyle="1" w:styleId="62">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3">
    <w:name w:val="标题 3 Char1"/>
    <w:link w:val="3"/>
    <w:autoRedefine/>
    <w:qFormat/>
    <w:uiPriority w:val="9"/>
    <w:rPr>
      <w:rFonts w:ascii="宋体" w:hAnsi="宋体" w:eastAsia="宋体"/>
      <w:b/>
      <w:bCs/>
      <w:kern w:val="2"/>
      <w:sz w:val="28"/>
      <w:szCs w:val="32"/>
      <w:lang w:val="en-US" w:eastAsia="zh-CN" w:bidi="ar-SA"/>
    </w:rPr>
  </w:style>
  <w:style w:type="character" w:customStyle="1" w:styleId="64">
    <w:name w:val="标题 1 Char"/>
    <w:link w:val="2"/>
    <w:autoRedefine/>
    <w:qFormat/>
    <w:uiPriority w:val="0"/>
    <w:rPr>
      <w:rFonts w:ascii="宋体" w:hAnsi="宋体" w:eastAsia="黑体"/>
      <w:b/>
      <w:bCs/>
      <w:kern w:val="44"/>
      <w:sz w:val="28"/>
      <w:szCs w:val="44"/>
      <w:lang w:val="en-US" w:eastAsia="zh-CN" w:bidi="ar-SA"/>
    </w:rPr>
  </w:style>
  <w:style w:type="character" w:customStyle="1" w:styleId="65">
    <w:name w:val="正文缩进 Char"/>
    <w:link w:val="7"/>
    <w:autoRedefine/>
    <w:qFormat/>
    <w:uiPriority w:val="0"/>
    <w:rPr>
      <w:rFonts w:eastAsia="宋体"/>
      <w:kern w:val="2"/>
      <w:sz w:val="21"/>
      <w:lang w:val="en-US" w:eastAsia="zh-CN" w:bidi="ar-SA"/>
    </w:rPr>
  </w:style>
  <w:style w:type="character" w:customStyle="1" w:styleId="66">
    <w:name w:val="标题 3 Char"/>
    <w:autoRedefine/>
    <w:qFormat/>
    <w:uiPriority w:val="0"/>
    <w:rPr>
      <w:rFonts w:ascii="黑体" w:eastAsia="黑体"/>
      <w:bCs/>
      <w:sz w:val="30"/>
    </w:rPr>
  </w:style>
  <w:style w:type="paragraph" w:customStyle="1" w:styleId="67">
    <w:name w:val="样式41"/>
    <w:basedOn w:val="1"/>
    <w:autoRedefine/>
    <w:qFormat/>
    <w:uiPriority w:val="0"/>
    <w:pPr>
      <w:numPr>
        <w:ilvl w:val="0"/>
        <w:numId w:val="2"/>
      </w:numPr>
      <w:tabs>
        <w:tab w:val="left" w:pos="945"/>
      </w:tabs>
      <w:spacing w:line="360" w:lineRule="auto"/>
    </w:pPr>
    <w:rPr>
      <w:b/>
      <w:color w:val="000000"/>
      <w:sz w:val="24"/>
      <w:szCs w:val="20"/>
    </w:rPr>
  </w:style>
  <w:style w:type="paragraph" w:customStyle="1" w:styleId="68">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69">
    <w:name w:val="文档正文"/>
    <w:basedOn w:val="1"/>
    <w:autoRedefine/>
    <w:qFormat/>
    <w:uiPriority w:val="0"/>
    <w:pPr>
      <w:adjustRightInd w:val="0"/>
      <w:spacing w:line="480" w:lineRule="atLeast"/>
      <w:ind w:firstLine="567" w:firstLineChars="200"/>
      <w:textAlignment w:val="baseline"/>
    </w:pPr>
    <w:rPr>
      <w:rFonts w:ascii="长城仿宋"/>
      <w:kern w:val="0"/>
      <w:szCs w:val="20"/>
    </w:rPr>
  </w:style>
  <w:style w:type="paragraph" w:customStyle="1" w:styleId="70">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1">
    <w:name w:val="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
    <w:name w:val="Char Char Char 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74">
    <w:name w:val="自定义正文"/>
    <w:basedOn w:val="1"/>
    <w:autoRedefine/>
    <w:qFormat/>
    <w:uiPriority w:val="0"/>
    <w:pPr>
      <w:spacing w:afterLines="50"/>
      <w:ind w:left="600" w:leftChars="600"/>
    </w:pPr>
  </w:style>
  <w:style w:type="paragraph" w:customStyle="1" w:styleId="75">
    <w:name w:val="Char Char Char Char Char"/>
    <w:basedOn w:val="1"/>
    <w:autoRedefine/>
    <w:qFormat/>
    <w:uiPriority w:val="0"/>
    <w:rPr>
      <w:rFonts w:ascii="Tahoma" w:hAnsi="Tahoma"/>
      <w:sz w:val="24"/>
      <w:szCs w:val="20"/>
    </w:rPr>
  </w:style>
  <w:style w:type="paragraph" w:customStyle="1" w:styleId="76">
    <w:name w:val="小标题 1"/>
    <w:basedOn w:val="1"/>
    <w:autoRedefine/>
    <w:qFormat/>
    <w:uiPriority w:val="0"/>
    <w:pPr>
      <w:autoSpaceDE w:val="0"/>
      <w:autoSpaceDN w:val="0"/>
      <w:adjustRightInd w:val="0"/>
      <w:spacing w:line="360" w:lineRule="atLeast"/>
    </w:pPr>
    <w:rPr>
      <w:rFonts w:ascii="文鼎粗黑" w:eastAsia="文鼎粗黑"/>
      <w:kern w:val="0"/>
      <w:sz w:val="22"/>
      <w:szCs w:val="20"/>
    </w:rPr>
  </w:style>
  <w:style w:type="paragraph" w:customStyle="1" w:styleId="77">
    <w:name w:val="Char Char"/>
    <w:basedOn w:val="1"/>
    <w:autoRedefine/>
    <w:qFormat/>
    <w:uiPriority w:val="0"/>
    <w:rPr>
      <w:rFonts w:ascii="Tahoma" w:hAnsi="Tahoma"/>
      <w:sz w:val="24"/>
      <w:szCs w:val="20"/>
    </w:rPr>
  </w:style>
  <w:style w:type="paragraph" w:customStyle="1" w:styleId="78">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79">
    <w:name w:val="标题 2 Char"/>
    <w:link w:val="5"/>
    <w:autoRedefine/>
    <w:qFormat/>
    <w:uiPriority w:val="0"/>
    <w:rPr>
      <w:rFonts w:ascii="宋体" w:hAnsi="宋体" w:eastAsia="宋体"/>
      <w:b/>
      <w:bCs/>
      <w:sz w:val="24"/>
      <w:lang w:val="en-US" w:eastAsia="zh-CN" w:bidi="ar-SA"/>
    </w:rPr>
  </w:style>
  <w:style w:type="paragraph" w:customStyle="1" w:styleId="8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styleId="81">
    <w:name w:val="List Paragraph"/>
    <w:basedOn w:val="1"/>
    <w:autoRedefine/>
    <w:qFormat/>
    <w:uiPriority w:val="0"/>
    <w:pPr>
      <w:ind w:firstLine="420" w:firstLineChars="200"/>
    </w:pPr>
    <w:rPr>
      <w:rFonts w:ascii="Calibri" w:hAnsi="Calibri"/>
      <w:szCs w:val="22"/>
    </w:rPr>
  </w:style>
  <w:style w:type="paragraph" w:customStyle="1" w:styleId="82">
    <w:name w:val="USE 1"/>
    <w:basedOn w:val="1"/>
    <w:autoRedefine/>
    <w:qFormat/>
    <w:uiPriority w:val="0"/>
    <w:pPr>
      <w:spacing w:line="200" w:lineRule="atLeast"/>
      <w:jc w:val="left"/>
    </w:pPr>
    <w:rPr>
      <w:rFonts w:ascii="宋体" w:hAnsi="宋体"/>
      <w:b/>
      <w:sz w:val="24"/>
      <w:szCs w:val="28"/>
    </w:rPr>
  </w:style>
  <w:style w:type="paragraph" w:customStyle="1" w:styleId="83">
    <w:name w:val="RFI text from 3rd Level"/>
    <w:basedOn w:val="1"/>
    <w:autoRedefine/>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84">
    <w:name w:val="正文文字缩进项目"/>
    <w:basedOn w:val="20"/>
    <w:autoRedefine/>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85">
    <w:name w:val="样式 标题 2 + 段前: 13 磅 段后: 13 磅 行距: 单倍行距"/>
    <w:basedOn w:val="5"/>
    <w:autoRedefine/>
    <w:qFormat/>
    <w:uiPriority w:val="0"/>
    <w:pPr>
      <w:adjustRightInd/>
      <w:spacing w:before="0" w:after="0"/>
      <w:jc w:val="both"/>
      <w:textAlignment w:val="auto"/>
    </w:pPr>
    <w:rPr>
      <w:rFonts w:ascii="Cambria" w:hAnsi="Cambria" w:cs="宋体"/>
      <w:kern w:val="2"/>
      <w:sz w:val="32"/>
    </w:rPr>
  </w:style>
  <w:style w:type="character" w:customStyle="1" w:styleId="86">
    <w:name w:val="H4 Char2"/>
    <w:autoRedefine/>
    <w:qFormat/>
    <w:uiPriority w:val="0"/>
    <w:rPr>
      <w:rFonts w:ascii="Arial" w:hAnsi="Arial" w:eastAsia="黑体"/>
      <w:b/>
      <w:bCs/>
      <w:kern w:val="2"/>
      <w:sz w:val="28"/>
      <w:szCs w:val="28"/>
      <w:lang w:val="en-US" w:eastAsia="zh-CN" w:bidi="ar-SA"/>
    </w:rPr>
  </w:style>
  <w:style w:type="character" w:customStyle="1" w:styleId="87">
    <w:name w:val="正文文本缩进 Char"/>
    <w:link w:val="20"/>
    <w:autoRedefine/>
    <w:qFormat/>
    <w:uiPriority w:val="0"/>
    <w:rPr>
      <w:rFonts w:eastAsia="宋体"/>
      <w:kern w:val="2"/>
      <w:sz w:val="21"/>
      <w:szCs w:val="24"/>
      <w:lang w:val="en-US" w:eastAsia="zh-CN" w:bidi="ar-SA"/>
    </w:rPr>
  </w:style>
  <w:style w:type="character" w:customStyle="1" w:styleId="88">
    <w:name w:val="标题 5 Char"/>
    <w:link w:val="6"/>
    <w:autoRedefine/>
    <w:qFormat/>
    <w:uiPriority w:val="0"/>
    <w:rPr>
      <w:rFonts w:eastAsia="宋体"/>
      <w:b/>
      <w:kern w:val="2"/>
      <w:sz w:val="28"/>
      <w:lang w:val="en-US" w:eastAsia="zh-CN" w:bidi="ar-SA"/>
    </w:rPr>
  </w:style>
  <w:style w:type="character" w:customStyle="1" w:styleId="89">
    <w:name w:val="第*章 Char"/>
    <w:autoRedefine/>
    <w:qFormat/>
    <w:uiPriority w:val="0"/>
    <w:rPr>
      <w:rFonts w:ascii="Arial" w:hAnsi="Arial" w:eastAsia="黑体"/>
      <w:b/>
      <w:bCs/>
      <w:kern w:val="2"/>
      <w:sz w:val="32"/>
      <w:szCs w:val="32"/>
    </w:rPr>
  </w:style>
  <w:style w:type="character" w:customStyle="1" w:styleId="90">
    <w:name w:val="章标题1 Char"/>
    <w:autoRedefine/>
    <w:qFormat/>
    <w:uiPriority w:val="0"/>
    <w:rPr>
      <w:rFonts w:eastAsia="宋体"/>
      <w:b/>
      <w:bCs/>
      <w:kern w:val="2"/>
      <w:sz w:val="32"/>
      <w:szCs w:val="32"/>
      <w:lang w:val="en-US" w:eastAsia="zh-CN" w:bidi="ar-SA"/>
    </w:rPr>
  </w:style>
  <w:style w:type="character" w:customStyle="1" w:styleId="91">
    <w:name w:val="标题 6 Char"/>
    <w:link w:val="8"/>
    <w:autoRedefine/>
    <w:qFormat/>
    <w:uiPriority w:val="0"/>
    <w:rPr>
      <w:rFonts w:ascii="Arial" w:hAnsi="Arial" w:eastAsia="黑体"/>
      <w:b/>
      <w:kern w:val="2"/>
      <w:sz w:val="24"/>
      <w:lang w:val="en-US" w:eastAsia="zh-CN" w:bidi="ar-SA"/>
    </w:rPr>
  </w:style>
  <w:style w:type="character" w:customStyle="1" w:styleId="92">
    <w:name w:val="标题 7 Char"/>
    <w:link w:val="9"/>
    <w:autoRedefine/>
    <w:qFormat/>
    <w:uiPriority w:val="0"/>
    <w:rPr>
      <w:rFonts w:eastAsia="宋体"/>
      <w:b/>
      <w:kern w:val="2"/>
      <w:sz w:val="24"/>
      <w:lang w:val="en-US" w:eastAsia="zh-CN" w:bidi="ar-SA"/>
    </w:rPr>
  </w:style>
  <w:style w:type="character" w:customStyle="1" w:styleId="93">
    <w:name w:val="标题 8 Char"/>
    <w:link w:val="10"/>
    <w:autoRedefine/>
    <w:qFormat/>
    <w:uiPriority w:val="0"/>
    <w:rPr>
      <w:rFonts w:ascii="Arial" w:hAnsi="Arial" w:eastAsia="黑体"/>
      <w:kern w:val="2"/>
      <w:sz w:val="24"/>
      <w:lang w:val="en-US" w:eastAsia="zh-CN" w:bidi="ar-SA"/>
    </w:rPr>
  </w:style>
  <w:style w:type="character" w:customStyle="1" w:styleId="94">
    <w:name w:val="标题 9 Char"/>
    <w:link w:val="11"/>
    <w:autoRedefine/>
    <w:qFormat/>
    <w:uiPriority w:val="0"/>
    <w:rPr>
      <w:rFonts w:ascii="Arial" w:hAnsi="Arial" w:eastAsia="黑体"/>
      <w:kern w:val="2"/>
      <w:sz w:val="21"/>
      <w:lang w:val="en-US" w:eastAsia="zh-CN" w:bidi="ar-SA"/>
    </w:rPr>
  </w:style>
  <w:style w:type="character" w:customStyle="1" w:styleId="95">
    <w:name w:val="标题 Char"/>
    <w:link w:val="40"/>
    <w:autoRedefine/>
    <w:qFormat/>
    <w:uiPriority w:val="0"/>
    <w:rPr>
      <w:rFonts w:ascii="Arial" w:hAnsi="Arial" w:eastAsia="隶书" w:cs="Arial"/>
      <w:b/>
      <w:bCs/>
      <w:kern w:val="2"/>
      <w:sz w:val="32"/>
      <w:szCs w:val="32"/>
      <w:lang w:val="en-US" w:eastAsia="zh-CN" w:bidi="ar-SA"/>
    </w:rPr>
  </w:style>
  <w:style w:type="character" w:customStyle="1" w:styleId="96">
    <w:name w:val="日期 Char"/>
    <w:link w:val="25"/>
    <w:autoRedefine/>
    <w:qFormat/>
    <w:uiPriority w:val="0"/>
    <w:rPr>
      <w:rFonts w:ascii="宋体" w:hAnsi="Courier New" w:eastAsia="宋体"/>
      <w:kern w:val="2"/>
      <w:sz w:val="32"/>
      <w:lang w:val="en-US" w:eastAsia="zh-CN" w:bidi="ar-SA"/>
    </w:rPr>
  </w:style>
  <w:style w:type="character" w:customStyle="1" w:styleId="97">
    <w:name w:val="HTML 预设格式 Char"/>
    <w:link w:val="37"/>
    <w:autoRedefine/>
    <w:qFormat/>
    <w:uiPriority w:val="0"/>
    <w:rPr>
      <w:rFonts w:ascii="Arial Unicode MS" w:hAnsi="Arial Unicode MS" w:eastAsia="Arial Unicode MS"/>
      <w:color w:val="000000"/>
      <w:lang w:val="en-US" w:eastAsia="zh-CN" w:bidi="ar-SA"/>
    </w:rPr>
  </w:style>
  <w:style w:type="character" w:customStyle="1" w:styleId="98">
    <w:name w:val="纯文本 Char"/>
    <w:link w:val="23"/>
    <w:autoRedefine/>
    <w:qFormat/>
    <w:uiPriority w:val="0"/>
    <w:rPr>
      <w:rFonts w:ascii="宋体" w:hAnsi="Courier New" w:eastAsia="宋体"/>
      <w:kern w:val="2"/>
      <w:sz w:val="21"/>
      <w:lang w:val="en-US" w:eastAsia="zh-CN" w:bidi="ar-SA"/>
    </w:rPr>
  </w:style>
  <w:style w:type="character" w:customStyle="1" w:styleId="99">
    <w:name w:val="正文文字首行缩进 Char"/>
    <w:autoRedefine/>
    <w:qFormat/>
    <w:uiPriority w:val="0"/>
    <w:rPr>
      <w:kern w:val="2"/>
      <w:sz w:val="21"/>
      <w:szCs w:val="24"/>
    </w:rPr>
  </w:style>
  <w:style w:type="character" w:customStyle="1" w:styleId="100">
    <w:name w:val="正文文本 Char"/>
    <w:link w:val="18"/>
    <w:autoRedefine/>
    <w:qFormat/>
    <w:uiPriority w:val="0"/>
    <w:rPr>
      <w:rFonts w:eastAsia="宋体"/>
      <w:b/>
      <w:bCs/>
      <w:kern w:val="2"/>
      <w:sz w:val="24"/>
      <w:szCs w:val="24"/>
      <w:lang w:val="en-US" w:eastAsia="zh-CN" w:bidi="ar-SA"/>
    </w:rPr>
  </w:style>
  <w:style w:type="character" w:customStyle="1" w:styleId="101">
    <w:name w:val="正文文本缩进 2 Char"/>
    <w:link w:val="26"/>
    <w:autoRedefine/>
    <w:qFormat/>
    <w:uiPriority w:val="0"/>
    <w:rPr>
      <w:rFonts w:ascii="宋体" w:hAnsi="宋体" w:eastAsia="宋体"/>
      <w:kern w:val="2"/>
      <w:sz w:val="21"/>
      <w:szCs w:val="24"/>
      <w:lang w:val="en-US" w:eastAsia="zh-CN" w:bidi="ar-SA"/>
    </w:rPr>
  </w:style>
  <w:style w:type="character" w:customStyle="1" w:styleId="102">
    <w:name w:val="页眉 Char"/>
    <w:link w:val="29"/>
    <w:autoRedefine/>
    <w:qFormat/>
    <w:uiPriority w:val="99"/>
    <w:rPr>
      <w:rFonts w:eastAsia="宋体"/>
      <w:kern w:val="2"/>
      <w:sz w:val="18"/>
      <w:szCs w:val="18"/>
      <w:lang w:val="en-US" w:eastAsia="zh-CN" w:bidi="ar-SA"/>
    </w:rPr>
  </w:style>
  <w:style w:type="character" w:customStyle="1" w:styleId="103">
    <w:name w:val="正文文本缩进 3 Char"/>
    <w:link w:val="34"/>
    <w:autoRedefine/>
    <w:qFormat/>
    <w:uiPriority w:val="0"/>
    <w:rPr>
      <w:rFonts w:ascii="宋体" w:eastAsia="宋体"/>
      <w:b/>
      <w:bCs/>
      <w:kern w:val="2"/>
      <w:sz w:val="24"/>
      <w:szCs w:val="24"/>
      <w:lang w:val="en-US" w:eastAsia="zh-CN" w:bidi="ar-SA"/>
    </w:rPr>
  </w:style>
  <w:style w:type="character" w:customStyle="1" w:styleId="104">
    <w:name w:val="正文文本 2 Char"/>
    <w:link w:val="19"/>
    <w:autoRedefine/>
    <w:qFormat/>
    <w:uiPriority w:val="0"/>
    <w:rPr>
      <w:rFonts w:eastAsia="宋体"/>
      <w:kern w:val="2"/>
      <w:sz w:val="24"/>
      <w:szCs w:val="24"/>
      <w:lang w:val="en-US" w:eastAsia="zh-CN" w:bidi="ar-SA"/>
    </w:rPr>
  </w:style>
  <w:style w:type="character" w:customStyle="1" w:styleId="105">
    <w:name w:val="页脚 Char"/>
    <w:link w:val="28"/>
    <w:autoRedefine/>
    <w:qFormat/>
    <w:uiPriority w:val="0"/>
    <w:rPr>
      <w:rFonts w:eastAsia="宋体"/>
      <w:kern w:val="2"/>
      <w:sz w:val="18"/>
      <w:szCs w:val="18"/>
      <w:lang w:val="en-US" w:eastAsia="zh-CN" w:bidi="ar-SA"/>
    </w:rPr>
  </w:style>
  <w:style w:type="character" w:customStyle="1" w:styleId="106">
    <w:name w:val="正文文本 3 Char"/>
    <w:link w:val="17"/>
    <w:autoRedefine/>
    <w:qFormat/>
    <w:uiPriority w:val="0"/>
    <w:rPr>
      <w:rFonts w:eastAsia="宋体"/>
      <w:kern w:val="2"/>
      <w:sz w:val="16"/>
      <w:szCs w:val="16"/>
      <w:lang w:val="en-US" w:eastAsia="zh-CN" w:bidi="ar-SA"/>
    </w:rPr>
  </w:style>
  <w:style w:type="character" w:customStyle="1" w:styleId="107">
    <w:name w:val="批注框文本 Char"/>
    <w:link w:val="27"/>
    <w:autoRedefine/>
    <w:semiHidden/>
    <w:qFormat/>
    <w:uiPriority w:val="99"/>
    <w:rPr>
      <w:rFonts w:eastAsia="宋体"/>
      <w:kern w:val="2"/>
      <w:sz w:val="18"/>
      <w:szCs w:val="18"/>
      <w:lang w:val="en-US" w:eastAsia="zh-CN" w:bidi="ar-SA"/>
    </w:rPr>
  </w:style>
  <w:style w:type="paragraph" w:customStyle="1" w:styleId="108">
    <w:name w:val="样式1"/>
    <w:basedOn w:val="40"/>
    <w:autoRedefine/>
    <w:qFormat/>
    <w:uiPriority w:val="0"/>
    <w:pPr>
      <w:spacing w:before="120" w:after="120"/>
    </w:pPr>
    <w:rPr>
      <w:rFonts w:eastAsia="黑体"/>
      <w:b w:val="0"/>
      <w:sz w:val="30"/>
      <w:szCs w:val="21"/>
    </w:rPr>
  </w:style>
  <w:style w:type="paragraph" w:customStyle="1" w:styleId="109">
    <w:name w:val="样式2"/>
    <w:basedOn w:val="40"/>
    <w:next w:val="108"/>
    <w:autoRedefine/>
    <w:qFormat/>
    <w:uiPriority w:val="0"/>
    <w:pPr>
      <w:spacing w:before="120" w:after="120"/>
    </w:pPr>
    <w:rPr>
      <w:rFonts w:eastAsia="黑体"/>
      <w:b w:val="0"/>
      <w:sz w:val="30"/>
      <w:szCs w:val="30"/>
    </w:rPr>
  </w:style>
  <w:style w:type="character" w:customStyle="1" w:styleId="110">
    <w:name w:val="标题 3 Char Char"/>
    <w:autoRedefine/>
    <w:qFormat/>
    <w:uiPriority w:val="0"/>
    <w:rPr>
      <w:rFonts w:eastAsia="宋体"/>
      <w:b/>
      <w:bCs/>
      <w:kern w:val="2"/>
      <w:sz w:val="32"/>
      <w:szCs w:val="32"/>
      <w:lang w:val="en-US" w:eastAsia="zh-CN" w:bidi="ar-SA"/>
    </w:rPr>
  </w:style>
  <w:style w:type="paragraph" w:customStyle="1" w:styleId="111">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2">
    <w:name w:val="cont"/>
    <w:basedOn w:val="1"/>
    <w:autoRedefine/>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13">
    <w:name w:val="--规划正文"/>
    <w:basedOn w:val="1"/>
    <w:autoRedefine/>
    <w:qFormat/>
    <w:uiPriority w:val="0"/>
    <w:pPr>
      <w:spacing w:line="360" w:lineRule="auto"/>
      <w:ind w:firstLine="200" w:firstLineChars="200"/>
    </w:pPr>
    <w:rPr>
      <w:szCs w:val="20"/>
    </w:rPr>
  </w:style>
  <w:style w:type="paragraph" w:customStyle="1" w:styleId="114">
    <w:name w:val="设计依据"/>
    <w:basedOn w:val="18"/>
    <w:autoRedefine/>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15">
    <w:name w:val="方案要点"/>
    <w:basedOn w:val="1"/>
    <w:autoRedefine/>
    <w:qFormat/>
    <w:uiPriority w:val="0"/>
    <w:pPr>
      <w:numPr>
        <w:ilvl w:val="0"/>
        <w:numId w:val="4"/>
      </w:numPr>
      <w:spacing w:line="360" w:lineRule="auto"/>
    </w:pPr>
    <w:rPr>
      <w:rFonts w:ascii="仿宋_GB2312" w:hAnsi="宋体" w:eastAsia="仿宋_GB2312"/>
      <w:color w:val="000000"/>
      <w:sz w:val="28"/>
      <w:szCs w:val="28"/>
    </w:rPr>
  </w:style>
  <w:style w:type="paragraph" w:customStyle="1" w:styleId="116">
    <w:name w:val="样式4"/>
    <w:basedOn w:val="1"/>
    <w:autoRedefine/>
    <w:qFormat/>
    <w:uiPriority w:val="0"/>
    <w:pPr>
      <w:tabs>
        <w:tab w:val="left" w:pos="842"/>
      </w:tabs>
      <w:spacing w:line="360" w:lineRule="auto"/>
      <w:ind w:left="842" w:hanging="420"/>
    </w:pPr>
    <w:rPr>
      <w:sz w:val="24"/>
    </w:rPr>
  </w:style>
  <w:style w:type="paragraph" w:customStyle="1" w:styleId="117">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118">
    <w:name w:val="--规划-表格-居左"/>
    <w:basedOn w:val="113"/>
    <w:autoRedefine/>
    <w:qFormat/>
    <w:uiPriority w:val="0"/>
    <w:pPr>
      <w:spacing w:line="240" w:lineRule="auto"/>
      <w:ind w:firstLine="0" w:firstLineChars="0"/>
    </w:pPr>
    <w:rPr>
      <w:sz w:val="20"/>
    </w:rPr>
  </w:style>
  <w:style w:type="paragraph" w:customStyle="1" w:styleId="119">
    <w:name w:val="--规划-表格-居中"/>
    <w:basedOn w:val="113"/>
    <w:autoRedefine/>
    <w:qFormat/>
    <w:uiPriority w:val="0"/>
    <w:pPr>
      <w:spacing w:line="240" w:lineRule="auto"/>
      <w:ind w:firstLine="0" w:firstLineChars="0"/>
      <w:jc w:val="center"/>
    </w:pPr>
    <w:rPr>
      <w:sz w:val="20"/>
    </w:rPr>
  </w:style>
  <w:style w:type="paragraph" w:customStyle="1" w:styleId="120">
    <w:name w:val="--编号内缩进"/>
    <w:basedOn w:val="1"/>
    <w:autoRedefine/>
    <w:qFormat/>
    <w:uiPriority w:val="0"/>
    <w:pPr>
      <w:spacing w:line="360" w:lineRule="auto"/>
      <w:ind w:left="420" w:firstLine="200" w:firstLineChars="200"/>
    </w:pPr>
    <w:rPr>
      <w:szCs w:val="21"/>
    </w:rPr>
  </w:style>
  <w:style w:type="paragraph" w:customStyle="1" w:styleId="121">
    <w:name w:val="--规划-题注"/>
    <w:basedOn w:val="1"/>
    <w:next w:val="113"/>
    <w:autoRedefine/>
    <w:qFormat/>
    <w:uiPriority w:val="0"/>
    <w:pPr>
      <w:spacing w:line="360" w:lineRule="auto"/>
      <w:jc w:val="center"/>
    </w:pPr>
    <w:rPr>
      <w:rFonts w:eastAsia="黑体"/>
    </w:rPr>
  </w:style>
  <w:style w:type="paragraph" w:customStyle="1" w:styleId="122">
    <w:name w:val="--规划-图和表"/>
    <w:next w:val="113"/>
    <w:autoRedefine/>
    <w:qFormat/>
    <w:uiPriority w:val="0"/>
    <w:pPr>
      <w:jc w:val="center"/>
    </w:pPr>
    <w:rPr>
      <w:rFonts w:ascii="Times New Roman" w:hAnsi="Times New Roman" w:eastAsia="宋体" w:cs="Times New Roman"/>
      <w:kern w:val="2"/>
      <w:sz w:val="21"/>
      <w:lang w:val="en-US" w:eastAsia="zh-CN" w:bidi="ar-SA"/>
    </w:rPr>
  </w:style>
  <w:style w:type="paragraph" w:customStyle="1" w:styleId="123">
    <w:name w:val="--规划-小标题"/>
    <w:basedOn w:val="1"/>
    <w:next w:val="113"/>
    <w:autoRedefine/>
    <w:qFormat/>
    <w:uiPriority w:val="0"/>
    <w:pPr>
      <w:keepNext/>
      <w:keepLines/>
      <w:spacing w:line="360" w:lineRule="auto"/>
      <w:outlineLvl w:val="4"/>
    </w:pPr>
    <w:rPr>
      <w:rFonts w:eastAsia="黑体"/>
    </w:rPr>
  </w:style>
  <w:style w:type="paragraph" w:customStyle="1" w:styleId="124">
    <w:name w:val="--规划正文 Char"/>
    <w:basedOn w:val="1"/>
    <w:autoRedefine/>
    <w:qFormat/>
    <w:uiPriority w:val="0"/>
    <w:pPr>
      <w:spacing w:line="360" w:lineRule="auto"/>
      <w:ind w:firstLine="200" w:firstLineChars="200"/>
    </w:pPr>
    <w:rPr>
      <w:sz w:val="24"/>
    </w:rPr>
  </w:style>
  <w:style w:type="paragraph" w:customStyle="1" w:styleId="125">
    <w:name w:val="缺省文本"/>
    <w:basedOn w:val="1"/>
    <w:autoRedefine/>
    <w:qFormat/>
    <w:uiPriority w:val="0"/>
    <w:pPr>
      <w:autoSpaceDE w:val="0"/>
      <w:autoSpaceDN w:val="0"/>
      <w:adjustRightInd w:val="0"/>
      <w:jc w:val="left"/>
    </w:pPr>
    <w:rPr>
      <w:kern w:val="0"/>
    </w:rPr>
  </w:style>
  <w:style w:type="paragraph" w:customStyle="1" w:styleId="126">
    <w:name w:val="封面文档标题"/>
    <w:basedOn w:val="1"/>
    <w:autoRedefine/>
    <w:qFormat/>
    <w:uiPriority w:val="0"/>
    <w:pPr>
      <w:autoSpaceDE w:val="0"/>
      <w:autoSpaceDN w:val="0"/>
      <w:adjustRightInd w:val="0"/>
      <w:spacing w:line="360" w:lineRule="auto"/>
      <w:jc w:val="center"/>
    </w:pPr>
    <w:rPr>
      <w:rFonts w:ascii="Arial" w:hAnsi="Arial"/>
      <w:b/>
      <w:kern w:val="0"/>
      <w:sz w:val="56"/>
    </w:rPr>
  </w:style>
  <w:style w:type="character" w:customStyle="1" w:styleId="127">
    <w:name w:val="--规划正文 Char Char"/>
    <w:autoRedefine/>
    <w:qFormat/>
    <w:uiPriority w:val="0"/>
    <w:rPr>
      <w:rFonts w:eastAsia="宋体"/>
      <w:kern w:val="2"/>
      <w:sz w:val="24"/>
      <w:szCs w:val="24"/>
      <w:lang w:val="en-US" w:eastAsia="zh-CN" w:bidi="ar-SA"/>
    </w:rPr>
  </w:style>
  <w:style w:type="paragraph" w:customStyle="1" w:styleId="128">
    <w:name w:val="样式3"/>
    <w:basedOn w:val="2"/>
    <w:autoRedefine/>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9">
    <w:name w:val="--规划正文 Char1"/>
    <w:autoRedefine/>
    <w:qFormat/>
    <w:uiPriority w:val="0"/>
    <w:rPr>
      <w:rFonts w:eastAsia="宋体"/>
      <w:kern w:val="2"/>
      <w:sz w:val="21"/>
      <w:lang w:val="en-US" w:eastAsia="zh-CN" w:bidi="ar-SA"/>
    </w:rPr>
  </w:style>
  <w:style w:type="paragraph" w:customStyle="1" w:styleId="130">
    <w:name w:val="word"/>
    <w:basedOn w:val="1"/>
    <w:autoRedefine/>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31">
    <w:name w:val="列表项目"/>
    <w:basedOn w:val="1"/>
    <w:autoRedefine/>
    <w:qFormat/>
    <w:uiPriority w:val="0"/>
    <w:pPr>
      <w:tabs>
        <w:tab w:val="left" w:pos="420"/>
        <w:tab w:val="left" w:pos="1080"/>
      </w:tabs>
      <w:spacing w:line="288" w:lineRule="auto"/>
      <w:ind w:left="1080" w:hanging="360"/>
    </w:pPr>
    <w:rPr>
      <w:sz w:val="24"/>
      <w:szCs w:val="20"/>
    </w:rPr>
  </w:style>
  <w:style w:type="character" w:customStyle="1" w:styleId="132">
    <w:name w:val="content1"/>
    <w:autoRedefine/>
    <w:qFormat/>
    <w:uiPriority w:val="0"/>
    <w:rPr>
      <w:rFonts w:hint="default" w:ascii="??" w:hAnsi="??"/>
      <w:sz w:val="16"/>
      <w:szCs w:val="16"/>
      <w:u w:val="none"/>
    </w:rPr>
  </w:style>
  <w:style w:type="character" w:customStyle="1" w:styleId="133">
    <w:name w:val="unnamed4"/>
    <w:basedOn w:val="46"/>
    <w:autoRedefine/>
    <w:qFormat/>
    <w:uiPriority w:val="0"/>
  </w:style>
  <w:style w:type="character" w:customStyle="1" w:styleId="134">
    <w:name w:val="font2"/>
    <w:basedOn w:val="46"/>
    <w:autoRedefine/>
    <w:qFormat/>
    <w:uiPriority w:val="0"/>
  </w:style>
  <w:style w:type="character" w:customStyle="1" w:styleId="135">
    <w:name w:val="font41"/>
    <w:autoRedefine/>
    <w:qFormat/>
    <w:uiPriority w:val="0"/>
    <w:rPr>
      <w:color w:val="000000"/>
      <w:spacing w:val="260"/>
      <w:sz w:val="18"/>
      <w:szCs w:val="18"/>
      <w:u w:val="none"/>
    </w:rPr>
  </w:style>
  <w:style w:type="paragraph" w:customStyle="1" w:styleId="136">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37">
    <w:name w:val="xl72"/>
    <w:basedOn w:val="1"/>
    <w:autoRedefine/>
    <w:qFormat/>
    <w:uiPriority w:val="0"/>
    <w:pPr>
      <w:widowControl/>
      <w:spacing w:before="100" w:beforeAutospacing="1" w:after="100" w:afterAutospacing="1"/>
      <w:jc w:val="left"/>
    </w:pPr>
    <w:rPr>
      <w:rFonts w:ascii="宋体" w:hAnsi="宋体"/>
      <w:b/>
      <w:bCs/>
      <w:kern w:val="0"/>
      <w:sz w:val="28"/>
      <w:szCs w:val="28"/>
    </w:rPr>
  </w:style>
  <w:style w:type="character" w:customStyle="1" w:styleId="138">
    <w:name w:val="正文首行缩进 Char"/>
    <w:link w:val="42"/>
    <w:autoRedefine/>
    <w:qFormat/>
    <w:uiPriority w:val="0"/>
    <w:rPr>
      <w:rFonts w:eastAsia="宋体"/>
      <w:b/>
      <w:bCs/>
      <w:kern w:val="2"/>
      <w:sz w:val="21"/>
      <w:szCs w:val="24"/>
      <w:lang w:val="en-US" w:eastAsia="zh-CN" w:bidi="ar-SA"/>
    </w:rPr>
  </w:style>
  <w:style w:type="paragraph" w:customStyle="1" w:styleId="139">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40">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41">
    <w:name w:val="汉仪细等线简9BOLD"/>
    <w:basedOn w:val="1"/>
    <w:autoRedefine/>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42">
    <w:name w:val="mode"/>
    <w:basedOn w:val="46"/>
    <w:autoRedefine/>
    <w:qFormat/>
    <w:uiPriority w:val="0"/>
  </w:style>
  <w:style w:type="paragraph" w:customStyle="1" w:styleId="143">
    <w:name w:val="9"/>
    <w:basedOn w:val="1"/>
    <w:next w:val="7"/>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44">
    <w:name w:val="unnamed3"/>
    <w:basedOn w:val="46"/>
    <w:autoRedefine/>
    <w:qFormat/>
    <w:uiPriority w:val="0"/>
  </w:style>
  <w:style w:type="paragraph" w:customStyle="1" w:styleId="145">
    <w:name w:val="8"/>
    <w:basedOn w:val="1"/>
    <w:next w:val="20"/>
    <w:autoRedefine/>
    <w:qFormat/>
    <w:uiPriority w:val="0"/>
    <w:pPr>
      <w:spacing w:after="120"/>
      <w:ind w:left="420" w:leftChars="200"/>
    </w:pPr>
  </w:style>
  <w:style w:type="paragraph" w:customStyle="1" w:styleId="146">
    <w:name w:val="7"/>
    <w:basedOn w:val="1"/>
    <w:autoRedefine/>
    <w:qFormat/>
    <w:uiPriority w:val="0"/>
    <w:pPr>
      <w:autoSpaceDE w:val="0"/>
      <w:autoSpaceDN w:val="0"/>
      <w:adjustRightInd w:val="0"/>
      <w:spacing w:line="270" w:lineRule="atLeast"/>
      <w:jc w:val="left"/>
    </w:pPr>
    <w:rPr>
      <w:rFonts w:ascii="宋体"/>
      <w:kern w:val="0"/>
      <w:sz w:val="18"/>
      <w:szCs w:val="18"/>
    </w:rPr>
  </w:style>
  <w:style w:type="paragraph" w:customStyle="1" w:styleId="147">
    <w:name w:val="00"/>
    <w:basedOn w:val="1"/>
    <w:autoRedefine/>
    <w:qFormat/>
    <w:uiPriority w:val="0"/>
    <w:pPr>
      <w:autoSpaceDE w:val="0"/>
      <w:autoSpaceDN w:val="0"/>
      <w:adjustRightInd w:val="0"/>
      <w:jc w:val="left"/>
    </w:pPr>
    <w:rPr>
      <w:rFonts w:ascii="黑体" w:eastAsia="黑体"/>
      <w:b/>
      <w:bCs/>
      <w:kern w:val="0"/>
      <w:sz w:val="20"/>
      <w:szCs w:val="20"/>
    </w:rPr>
  </w:style>
  <w:style w:type="paragraph" w:customStyle="1" w:styleId="148">
    <w:name w:val="5"/>
    <w:basedOn w:val="1"/>
    <w:autoRedefine/>
    <w:qFormat/>
    <w:uiPriority w:val="0"/>
    <w:pPr>
      <w:autoSpaceDE w:val="0"/>
      <w:autoSpaceDN w:val="0"/>
      <w:adjustRightInd w:val="0"/>
      <w:jc w:val="left"/>
    </w:pPr>
    <w:rPr>
      <w:rFonts w:ascii="宋体"/>
      <w:b/>
      <w:bCs/>
      <w:kern w:val="0"/>
      <w:sz w:val="18"/>
      <w:szCs w:val="18"/>
    </w:rPr>
  </w:style>
  <w:style w:type="paragraph" w:customStyle="1" w:styleId="149">
    <w:name w:val="6"/>
    <w:basedOn w:val="148"/>
    <w:autoRedefine/>
    <w:qFormat/>
    <w:uiPriority w:val="0"/>
    <w:pPr>
      <w:spacing w:line="270" w:lineRule="atLeast"/>
      <w:jc w:val="both"/>
    </w:pPr>
    <w:rPr>
      <w:b w:val="0"/>
      <w:bCs w:val="0"/>
    </w:rPr>
  </w:style>
  <w:style w:type="paragraph" w:customStyle="1" w:styleId="150">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51">
    <w:name w:val="姜文清定义的正文"/>
    <w:basedOn w:val="1"/>
    <w:autoRedefine/>
    <w:qFormat/>
    <w:uiPriority w:val="0"/>
    <w:pPr>
      <w:spacing w:line="240" w:lineRule="atLeast"/>
      <w:ind w:firstLine="567"/>
    </w:pPr>
    <w:rPr>
      <w:szCs w:val="20"/>
    </w:rPr>
  </w:style>
  <w:style w:type="paragraph" w:customStyle="1" w:styleId="152">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53">
    <w:name w:val="CM2"/>
    <w:basedOn w:val="152"/>
    <w:next w:val="152"/>
    <w:autoRedefine/>
    <w:qFormat/>
    <w:uiPriority w:val="0"/>
    <w:pPr>
      <w:spacing w:line="200" w:lineRule="atLeast"/>
    </w:pPr>
    <w:rPr>
      <w:rFonts w:ascii="Arial" w:hAnsi="Arial" w:eastAsia="宋体" w:cs="Times New Roman"/>
      <w:color w:val="auto"/>
    </w:rPr>
  </w:style>
  <w:style w:type="paragraph" w:customStyle="1" w:styleId="154">
    <w:name w:val="Normal Paragraph"/>
    <w:basedOn w:val="1"/>
    <w:autoRedefine/>
    <w:qFormat/>
    <w:uiPriority w:val="0"/>
    <w:pPr>
      <w:widowControl/>
      <w:spacing w:before="120" w:line="360" w:lineRule="auto"/>
      <w:ind w:firstLine="425"/>
    </w:pPr>
    <w:rPr>
      <w:kern w:val="0"/>
      <w:sz w:val="24"/>
    </w:rPr>
  </w:style>
  <w:style w:type="character" w:customStyle="1" w:styleId="155">
    <w:name w:val="blue"/>
    <w:basedOn w:val="46"/>
    <w:autoRedefine/>
    <w:qFormat/>
    <w:uiPriority w:val="0"/>
  </w:style>
  <w:style w:type="paragraph" w:customStyle="1" w:styleId="156">
    <w:name w:val="blue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7">
    <w:name w:val="font"/>
    <w:basedOn w:val="46"/>
    <w:autoRedefine/>
    <w:qFormat/>
    <w:uiPriority w:val="0"/>
  </w:style>
  <w:style w:type="character" w:customStyle="1" w:styleId="158">
    <w:name w:val="font11"/>
    <w:autoRedefine/>
    <w:qFormat/>
    <w:uiPriority w:val="0"/>
    <w:rPr>
      <w:rFonts w:hint="default" w:ascii="ˎ̥" w:hAnsi="ˎ̥"/>
    </w:rPr>
  </w:style>
  <w:style w:type="paragraph" w:customStyle="1" w:styleId="159">
    <w:name w:val="a14"/>
    <w:basedOn w:val="1"/>
    <w:autoRedefine/>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60">
    <w:name w:val="proddescription"/>
    <w:basedOn w:val="46"/>
    <w:autoRedefine/>
    <w:qFormat/>
    <w:uiPriority w:val="0"/>
  </w:style>
  <w:style w:type="character" w:customStyle="1" w:styleId="161">
    <w:name w:val="prodheadlines"/>
    <w:basedOn w:val="46"/>
    <w:autoRedefine/>
    <w:qFormat/>
    <w:uiPriority w:val="0"/>
  </w:style>
  <w:style w:type="character" w:customStyle="1" w:styleId="162">
    <w:name w:val="text"/>
    <w:basedOn w:val="46"/>
    <w:autoRedefine/>
    <w:qFormat/>
    <w:uiPriority w:val="0"/>
  </w:style>
  <w:style w:type="paragraph" w:customStyle="1" w:styleId="163">
    <w:name w:val="tex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
    <w:name w:val="z-窗体顶端1"/>
    <w:basedOn w:val="1"/>
    <w:next w:val="1"/>
    <w:autoRedefine/>
    <w:hidden/>
    <w:qFormat/>
    <w:uiPriority w:val="0"/>
    <w:pPr>
      <w:widowControl/>
      <w:pBdr>
        <w:bottom w:val="single" w:color="auto" w:sz="6" w:space="1"/>
      </w:pBdr>
      <w:jc w:val="center"/>
    </w:pPr>
    <w:rPr>
      <w:rFonts w:ascii="Arial" w:hAnsi="Arial" w:cs="Arial"/>
      <w:vanish/>
      <w:kern w:val="0"/>
      <w:sz w:val="16"/>
      <w:szCs w:val="16"/>
    </w:rPr>
  </w:style>
  <w:style w:type="paragraph" w:customStyle="1" w:styleId="165">
    <w:name w:val="z-窗体底端1"/>
    <w:basedOn w:val="1"/>
    <w:next w:val="1"/>
    <w:autoRedefine/>
    <w:hidden/>
    <w:qFormat/>
    <w:uiPriority w:val="0"/>
    <w:pPr>
      <w:widowControl/>
      <w:pBdr>
        <w:top w:val="single" w:color="auto" w:sz="6" w:space="1"/>
      </w:pBdr>
      <w:jc w:val="center"/>
    </w:pPr>
    <w:rPr>
      <w:rFonts w:ascii="Arial" w:hAnsi="Arial" w:cs="Arial"/>
      <w:vanish/>
      <w:kern w:val="0"/>
      <w:sz w:val="16"/>
      <w:szCs w:val="16"/>
    </w:rPr>
  </w:style>
  <w:style w:type="paragraph" w:customStyle="1" w:styleId="166">
    <w:name w:val="正文样式"/>
    <w:basedOn w:val="1"/>
    <w:autoRedefine/>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67">
    <w:name w:val="xl34"/>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8">
    <w:name w:val="段落正文"/>
    <w:basedOn w:val="23"/>
    <w:autoRedefine/>
    <w:qFormat/>
    <w:uiPriority w:val="0"/>
    <w:pPr>
      <w:ind w:firstLine="560" w:firstLineChars="200"/>
    </w:pPr>
    <w:rPr>
      <w:sz w:val="28"/>
    </w:rPr>
  </w:style>
  <w:style w:type="character" w:customStyle="1" w:styleId="169">
    <w:name w:val="gray6"/>
    <w:basedOn w:val="46"/>
    <w:autoRedefine/>
    <w:qFormat/>
    <w:uiPriority w:val="0"/>
  </w:style>
  <w:style w:type="character" w:customStyle="1" w:styleId="170">
    <w:name w:val="style9"/>
    <w:basedOn w:val="46"/>
    <w:autoRedefine/>
    <w:qFormat/>
    <w:uiPriority w:val="0"/>
  </w:style>
  <w:style w:type="paragraph" w:customStyle="1" w:styleId="171">
    <w:name w:val="2册标题4"/>
    <w:basedOn w:val="1"/>
    <w:next w:val="1"/>
    <w:autoRedefine/>
    <w:qFormat/>
    <w:uiPriority w:val="0"/>
    <w:pPr>
      <w:spacing w:beforeLines="50" w:afterLines="50" w:line="300" w:lineRule="auto"/>
      <w:ind w:left="420" w:leftChars="200"/>
      <w:outlineLvl w:val="3"/>
    </w:pPr>
    <w:rPr>
      <w:rFonts w:ascii="Arial" w:hAnsi="Arial" w:eastAsia="幼圆" w:cs="Arial"/>
      <w:b/>
      <w:sz w:val="24"/>
    </w:rPr>
  </w:style>
  <w:style w:type="character" w:customStyle="1" w:styleId="172">
    <w:name w:val="grame"/>
    <w:basedOn w:val="46"/>
    <w:autoRedefine/>
    <w:qFormat/>
    <w:uiPriority w:val="0"/>
  </w:style>
  <w:style w:type="paragraph" w:customStyle="1" w:styleId="173">
    <w:name w:val="style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Char1"/>
    <w:basedOn w:val="1"/>
    <w:autoRedefine/>
    <w:qFormat/>
    <w:uiPriority w:val="0"/>
    <w:pPr>
      <w:jc w:val="left"/>
    </w:pPr>
    <w:rPr>
      <w:rFonts w:ascii="Tahoma" w:hAnsi="Tahoma"/>
      <w:sz w:val="24"/>
      <w:szCs w:val="20"/>
    </w:rPr>
  </w:style>
  <w:style w:type="paragraph" w:customStyle="1" w:styleId="175">
    <w:name w:val="编号1"/>
    <w:basedOn w:val="1"/>
    <w:autoRedefine/>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76">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77">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78">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9">
    <w:name w:val="font6"/>
    <w:basedOn w:val="1"/>
    <w:autoRedefine/>
    <w:qFormat/>
    <w:uiPriority w:val="0"/>
    <w:pPr>
      <w:widowControl/>
      <w:spacing w:before="100" w:beforeAutospacing="1" w:after="100" w:afterAutospacing="1"/>
      <w:jc w:val="left"/>
    </w:pPr>
    <w:rPr>
      <w:kern w:val="0"/>
      <w:sz w:val="24"/>
    </w:rPr>
  </w:style>
  <w:style w:type="paragraph" w:customStyle="1" w:styleId="18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2">
    <w:name w:val="表格字"/>
    <w:basedOn w:val="1"/>
    <w:autoRedefine/>
    <w:qFormat/>
    <w:uiPriority w:val="0"/>
    <w:pPr>
      <w:adjustRightInd w:val="0"/>
      <w:jc w:val="center"/>
    </w:pPr>
    <w:rPr>
      <w:rFonts w:ascii="宋体"/>
      <w:sz w:val="24"/>
      <w:szCs w:val="20"/>
    </w:rPr>
  </w:style>
  <w:style w:type="character" w:customStyle="1" w:styleId="183">
    <w:name w:val="样式 小三 加粗"/>
    <w:autoRedefine/>
    <w:qFormat/>
    <w:uiPriority w:val="0"/>
    <w:rPr>
      <w:rFonts w:eastAsia="宋体"/>
      <w:b/>
      <w:bCs/>
      <w:sz w:val="32"/>
    </w:rPr>
  </w:style>
  <w:style w:type="paragraph" w:customStyle="1" w:styleId="18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86">
    <w:name w:val="Char Char Char"/>
    <w:basedOn w:val="1"/>
    <w:autoRedefine/>
    <w:qFormat/>
    <w:uiPriority w:val="0"/>
    <w:rPr>
      <w:rFonts w:ascii="Tahoma" w:hAnsi="Tahoma"/>
      <w:sz w:val="24"/>
      <w:szCs w:val="20"/>
    </w:rPr>
  </w:style>
  <w:style w:type="paragraph" w:customStyle="1" w:styleId="187">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8">
    <w:name w:val="info4"/>
    <w:basedOn w:val="46"/>
    <w:autoRedefine/>
    <w:qFormat/>
    <w:uiPriority w:val="0"/>
  </w:style>
  <w:style w:type="paragraph" w:customStyle="1" w:styleId="189">
    <w:name w:val="缩进正文"/>
    <w:basedOn w:val="1"/>
    <w:link w:val="190"/>
    <w:autoRedefine/>
    <w:qFormat/>
    <w:uiPriority w:val="0"/>
    <w:pPr>
      <w:ind w:firstLine="560" w:firstLineChars="200"/>
    </w:pPr>
    <w:rPr>
      <w:rFonts w:eastAsia="仿宋_GB2312" w:cs="宋体"/>
      <w:sz w:val="28"/>
      <w:szCs w:val="20"/>
    </w:rPr>
  </w:style>
  <w:style w:type="character" w:customStyle="1" w:styleId="190">
    <w:name w:val="缩进正文 Char"/>
    <w:link w:val="189"/>
    <w:autoRedefine/>
    <w:qFormat/>
    <w:uiPriority w:val="0"/>
    <w:rPr>
      <w:rFonts w:eastAsia="仿宋_GB2312" w:cs="宋体"/>
      <w:kern w:val="2"/>
      <w:sz w:val="28"/>
      <w:lang w:val="en-US" w:eastAsia="zh-CN" w:bidi="ar-SA"/>
    </w:rPr>
  </w:style>
  <w:style w:type="paragraph" w:customStyle="1" w:styleId="191">
    <w:name w:val="列出段落1"/>
    <w:basedOn w:val="1"/>
    <w:autoRedefine/>
    <w:qFormat/>
    <w:uiPriority w:val="0"/>
    <w:pPr>
      <w:ind w:firstLine="420" w:firstLineChars="200"/>
    </w:pPr>
    <w:rPr>
      <w:rFonts w:ascii="Calibri" w:hAnsi="Calibri" w:cs="Calibri"/>
      <w:szCs w:val="21"/>
    </w:rPr>
  </w:style>
  <w:style w:type="character" w:customStyle="1" w:styleId="192">
    <w:name w:val="批注文字 Char"/>
    <w:basedOn w:val="46"/>
    <w:link w:val="16"/>
    <w:autoRedefine/>
    <w:qFormat/>
    <w:uiPriority w:val="0"/>
    <w:rPr>
      <w:rFonts w:ascii="宋体"/>
      <w:sz w:val="34"/>
    </w:rPr>
  </w:style>
  <w:style w:type="character" w:customStyle="1" w:styleId="193">
    <w:name w:val="批注主题 Char"/>
    <w:basedOn w:val="192"/>
    <w:link w:val="41"/>
    <w:autoRedefine/>
    <w:qFormat/>
    <w:uiPriority w:val="99"/>
    <w:rPr>
      <w:rFonts w:ascii="宋体"/>
      <w:sz w:val="34"/>
    </w:rPr>
  </w:style>
  <w:style w:type="paragraph" w:customStyle="1" w:styleId="194">
    <w:name w:val="评价"/>
    <w:basedOn w:val="1"/>
    <w:autoRedefine/>
    <w:qFormat/>
    <w:uiPriority w:val="0"/>
    <w:pPr>
      <w:spacing w:afterLines="20"/>
      <w:ind w:firstLine="1446" w:firstLineChars="200"/>
    </w:pPr>
    <w:rPr>
      <w:rFonts w:ascii="Calibri" w:hAnsi="Calibri"/>
      <w:sz w:val="24"/>
    </w:rPr>
  </w:style>
  <w:style w:type="paragraph" w:customStyle="1" w:styleId="195">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96">
    <w:name w:val="alt-edited1"/>
    <w:autoRedefine/>
    <w:qFormat/>
    <w:uiPriority w:val="0"/>
    <w:rPr>
      <w:color w:val="4D90F0"/>
    </w:rPr>
  </w:style>
  <w:style w:type="paragraph" w:customStyle="1" w:styleId="197">
    <w:name w:val="toc 14"/>
    <w:next w:val="1"/>
    <w:autoRedefine/>
    <w:qFormat/>
    <w:uiPriority w:val="0"/>
    <w:pPr>
      <w:wordWrap w:val="0"/>
      <w:jc w:val="both"/>
    </w:pPr>
    <w:rPr>
      <w:rFonts w:ascii="Calibri" w:hAnsi="Calibri" w:eastAsia="宋体" w:cs="Times New Roman"/>
      <w:sz w:val="21"/>
      <w:lang w:val="en-US" w:eastAsia="zh-CN" w:bidi="ar-SA"/>
    </w:rPr>
  </w:style>
  <w:style w:type="character" w:customStyle="1" w:styleId="198">
    <w:name w:val="文档结构图 Char1"/>
    <w:autoRedefine/>
    <w:semiHidden/>
    <w:qFormat/>
    <w:uiPriority w:val="0"/>
    <w:rPr>
      <w:sz w:val="20"/>
    </w:rPr>
  </w:style>
  <w:style w:type="character" w:customStyle="1" w:styleId="199">
    <w:name w:val="文档结构图 Char"/>
    <w:autoRedefine/>
    <w:semiHidden/>
    <w:qFormat/>
    <w:uiPriority w:val="0"/>
    <w:rPr>
      <w:sz w:val="20"/>
    </w:rPr>
  </w:style>
  <w:style w:type="character" w:customStyle="1" w:styleId="200">
    <w:name w:val="short_text"/>
    <w:basedOn w:val="46"/>
    <w:autoRedefine/>
    <w:qFormat/>
    <w:uiPriority w:val="0"/>
    <w:rPr>
      <w:sz w:val="20"/>
    </w:rPr>
  </w:style>
  <w:style w:type="character" w:customStyle="1" w:styleId="201">
    <w:name w:val="标题 Char1"/>
    <w:autoRedefine/>
    <w:qFormat/>
    <w:uiPriority w:val="0"/>
    <w:rPr>
      <w:b/>
      <w:sz w:val="20"/>
    </w:rPr>
  </w:style>
  <w:style w:type="character" w:customStyle="1" w:styleId="202">
    <w:name w:val="正文文本缩进 3 Char1"/>
    <w:autoRedefine/>
    <w:semiHidden/>
    <w:qFormat/>
    <w:uiPriority w:val="0"/>
    <w:rPr>
      <w:sz w:val="20"/>
    </w:rPr>
  </w:style>
  <w:style w:type="character" w:customStyle="1" w:styleId="203">
    <w:name w:val="font21"/>
    <w:autoRedefine/>
    <w:qFormat/>
    <w:uiPriority w:val="0"/>
    <w:rPr>
      <w:color w:val="FF0000"/>
      <w:sz w:val="20"/>
      <w:u w:val="none"/>
    </w:rPr>
  </w:style>
  <w:style w:type="character" w:customStyle="1" w:styleId="204">
    <w:name w:val="不明显强调1"/>
    <w:autoRedefine/>
    <w:qFormat/>
    <w:uiPriority w:val="0"/>
    <w:rPr>
      <w:i/>
      <w:sz w:val="20"/>
    </w:rPr>
  </w:style>
  <w:style w:type="character" w:customStyle="1" w:styleId="205">
    <w:name w:val="font71"/>
    <w:autoRedefine/>
    <w:qFormat/>
    <w:uiPriority w:val="0"/>
    <w:rPr>
      <w:sz w:val="20"/>
      <w:u w:val="none"/>
    </w:rPr>
  </w:style>
  <w:style w:type="character" w:customStyle="1" w:styleId="206">
    <w:name w:val="页眉 Char1"/>
    <w:autoRedefine/>
    <w:semiHidden/>
    <w:qFormat/>
    <w:uiPriority w:val="0"/>
    <w:rPr>
      <w:sz w:val="20"/>
    </w:rPr>
  </w:style>
  <w:style w:type="character" w:customStyle="1" w:styleId="207">
    <w:name w:val="正文文本缩进 2 Char1"/>
    <w:autoRedefine/>
    <w:semiHidden/>
    <w:qFormat/>
    <w:uiPriority w:val="0"/>
    <w:rPr>
      <w:sz w:val="20"/>
    </w:rPr>
  </w:style>
  <w:style w:type="character" w:customStyle="1" w:styleId="208">
    <w:name w:val="font61"/>
    <w:autoRedefine/>
    <w:qFormat/>
    <w:uiPriority w:val="0"/>
    <w:rPr>
      <w:sz w:val="20"/>
      <w:u w:val="none"/>
    </w:rPr>
  </w:style>
  <w:style w:type="character" w:customStyle="1" w:styleId="209">
    <w:name w:val="纯文本 Char1"/>
    <w:autoRedefine/>
    <w:semiHidden/>
    <w:qFormat/>
    <w:uiPriority w:val="0"/>
    <w:rPr>
      <w:sz w:val="20"/>
    </w:rPr>
  </w:style>
  <w:style w:type="character" w:customStyle="1" w:styleId="210">
    <w:name w:val="正文文本 3 Char1"/>
    <w:autoRedefine/>
    <w:semiHidden/>
    <w:qFormat/>
    <w:uiPriority w:val="0"/>
    <w:rPr>
      <w:sz w:val="20"/>
    </w:rPr>
  </w:style>
  <w:style w:type="character" w:customStyle="1" w:styleId="211">
    <w:name w:val="正文文本缩进 Char1"/>
    <w:autoRedefine/>
    <w:semiHidden/>
    <w:qFormat/>
    <w:uiPriority w:val="0"/>
    <w:rPr>
      <w:sz w:val="20"/>
    </w:rPr>
  </w:style>
  <w:style w:type="character" w:customStyle="1" w:styleId="212">
    <w:name w:val="明显参考1"/>
    <w:autoRedefine/>
    <w:qFormat/>
    <w:uiPriority w:val="0"/>
    <w:rPr>
      <w:b/>
      <w:sz w:val="20"/>
    </w:rPr>
  </w:style>
  <w:style w:type="character" w:customStyle="1" w:styleId="213">
    <w:name w:val="apple-converted-space"/>
    <w:autoRedefine/>
    <w:qFormat/>
    <w:uiPriority w:val="0"/>
    <w:rPr>
      <w:sz w:val="20"/>
    </w:rPr>
  </w:style>
  <w:style w:type="character" w:customStyle="1" w:styleId="214">
    <w:name w:val="书籍标题1"/>
    <w:autoRedefine/>
    <w:qFormat/>
    <w:uiPriority w:val="0"/>
    <w:rPr>
      <w:b/>
      <w:i/>
      <w:sz w:val="20"/>
    </w:rPr>
  </w:style>
  <w:style w:type="character" w:customStyle="1" w:styleId="215">
    <w:name w:val="long_text"/>
    <w:autoRedefine/>
    <w:qFormat/>
    <w:uiPriority w:val="0"/>
    <w:rPr>
      <w:sz w:val="20"/>
    </w:rPr>
  </w:style>
  <w:style w:type="character" w:customStyle="1" w:styleId="216">
    <w:name w:val="日期 Char1"/>
    <w:autoRedefine/>
    <w:semiHidden/>
    <w:qFormat/>
    <w:uiPriority w:val="0"/>
    <w:rPr>
      <w:sz w:val="20"/>
    </w:rPr>
  </w:style>
  <w:style w:type="character" w:customStyle="1" w:styleId="217">
    <w:name w:val="批注文字 Char1"/>
    <w:autoRedefine/>
    <w:semiHidden/>
    <w:qFormat/>
    <w:uiPriority w:val="0"/>
    <w:rPr>
      <w:sz w:val="20"/>
    </w:rPr>
  </w:style>
  <w:style w:type="character" w:customStyle="1" w:styleId="218">
    <w:name w:val="明显强调1"/>
    <w:autoRedefine/>
    <w:qFormat/>
    <w:uiPriority w:val="0"/>
    <w:rPr>
      <w:i/>
      <w:sz w:val="20"/>
    </w:rPr>
  </w:style>
  <w:style w:type="character" w:customStyle="1" w:styleId="219">
    <w:name w:val="16"/>
    <w:autoRedefine/>
    <w:qFormat/>
    <w:uiPriority w:val="0"/>
    <w:rPr>
      <w:b/>
      <w:color w:val="FF0356"/>
      <w:sz w:val="20"/>
    </w:rPr>
  </w:style>
  <w:style w:type="character" w:customStyle="1" w:styleId="220">
    <w:name w:val="批注主题 Char1"/>
    <w:autoRedefine/>
    <w:semiHidden/>
    <w:qFormat/>
    <w:uiPriority w:val="0"/>
    <w:rPr>
      <w:b/>
      <w:sz w:val="20"/>
    </w:rPr>
  </w:style>
  <w:style w:type="character" w:customStyle="1" w:styleId="221">
    <w:name w:val="正文文本 2 Char1"/>
    <w:autoRedefine/>
    <w:semiHidden/>
    <w:qFormat/>
    <w:uiPriority w:val="0"/>
    <w:rPr>
      <w:sz w:val="20"/>
    </w:rPr>
  </w:style>
  <w:style w:type="character" w:customStyle="1" w:styleId="222">
    <w:name w:val="font31"/>
    <w:autoRedefine/>
    <w:qFormat/>
    <w:uiPriority w:val="0"/>
    <w:rPr>
      <w:color w:val="FF0000"/>
      <w:sz w:val="20"/>
      <w:u w:val="none"/>
      <w:vertAlign w:val="superscript"/>
    </w:rPr>
  </w:style>
  <w:style w:type="character" w:customStyle="1" w:styleId="223">
    <w:name w:val="不明显参考1"/>
    <w:autoRedefine/>
    <w:qFormat/>
    <w:uiPriority w:val="0"/>
    <w:rPr>
      <w:sz w:val="20"/>
    </w:rPr>
  </w:style>
  <w:style w:type="character" w:customStyle="1" w:styleId="224">
    <w:name w:val="HTML 预设格式 Char1"/>
    <w:autoRedefine/>
    <w:semiHidden/>
    <w:qFormat/>
    <w:uiPriority w:val="0"/>
    <w:rPr>
      <w:sz w:val="20"/>
    </w:rPr>
  </w:style>
  <w:style w:type="character" w:customStyle="1" w:styleId="225">
    <w:name w:val="font01"/>
    <w:basedOn w:val="46"/>
    <w:autoRedefine/>
    <w:qFormat/>
    <w:uiPriority w:val="0"/>
    <w:rPr>
      <w:color w:val="FF0000"/>
      <w:sz w:val="20"/>
      <w:u w:val="none"/>
      <w:vertAlign w:val="superscript"/>
    </w:rPr>
  </w:style>
  <w:style w:type="character" w:customStyle="1" w:styleId="226">
    <w:name w:val="页脚 Char1"/>
    <w:autoRedefine/>
    <w:semiHidden/>
    <w:qFormat/>
    <w:uiPriority w:val="0"/>
    <w:rPr>
      <w:sz w:val="20"/>
    </w:rPr>
  </w:style>
  <w:style w:type="character" w:customStyle="1" w:styleId="227">
    <w:name w:val="批注框文本 Char1"/>
    <w:autoRedefine/>
    <w:semiHidden/>
    <w:qFormat/>
    <w:uiPriority w:val="0"/>
    <w:rPr>
      <w:sz w:val="20"/>
    </w:rPr>
  </w:style>
  <w:style w:type="paragraph" w:customStyle="1" w:styleId="228">
    <w:name w:val="列出段落2"/>
    <w:basedOn w:val="1"/>
    <w:next w:val="229"/>
    <w:autoRedefine/>
    <w:qFormat/>
    <w:uiPriority w:val="0"/>
    <w:pPr>
      <w:ind w:firstLine="420"/>
    </w:pPr>
    <w:rPr>
      <w:rFonts w:hAnsi="Calibri"/>
      <w:kern w:val="0"/>
      <w:szCs w:val="20"/>
    </w:rPr>
  </w:style>
  <w:style w:type="paragraph" w:customStyle="1" w:styleId="229">
    <w:name w:val="toc 814"/>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230">
    <w:name w:val="toc 62"/>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231">
    <w:name w:val="toc 414"/>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32">
    <w:name w:val="toc 411"/>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33">
    <w:name w:val="xl86"/>
    <w:basedOn w:val="1"/>
    <w:next w:val="234"/>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234">
    <w:name w:val="toc 515"/>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235">
    <w:name w:val="TOC Heading4"/>
    <w:next w:val="1"/>
    <w:autoRedefine/>
    <w:qFormat/>
    <w:uiPriority w:val="0"/>
    <w:pPr>
      <w:wordWrap w:val="0"/>
    </w:pPr>
    <w:rPr>
      <w:rFonts w:ascii="Calibri" w:hAnsi="Calibri" w:eastAsia="宋体" w:cs="Times New Roman"/>
      <w:sz w:val="32"/>
      <w:lang w:val="en-US" w:eastAsia="zh-CN" w:bidi="ar-SA"/>
    </w:rPr>
  </w:style>
  <w:style w:type="paragraph" w:customStyle="1" w:styleId="236">
    <w:name w:val="toc 15"/>
    <w:next w:val="1"/>
    <w:autoRedefine/>
    <w:qFormat/>
    <w:uiPriority w:val="0"/>
    <w:pPr>
      <w:wordWrap w:val="0"/>
      <w:jc w:val="both"/>
    </w:pPr>
    <w:rPr>
      <w:rFonts w:ascii="Calibri" w:hAnsi="Calibri" w:eastAsia="宋体" w:cs="Times New Roman"/>
      <w:sz w:val="21"/>
      <w:lang w:val="en-US" w:eastAsia="zh-CN" w:bidi="ar-SA"/>
    </w:rPr>
  </w:style>
  <w:style w:type="paragraph" w:customStyle="1" w:styleId="237">
    <w:name w:val="TOC Heading2"/>
    <w:next w:val="1"/>
    <w:autoRedefine/>
    <w:qFormat/>
    <w:uiPriority w:val="0"/>
    <w:pPr>
      <w:wordWrap w:val="0"/>
    </w:pPr>
    <w:rPr>
      <w:rFonts w:ascii="Calibri" w:hAnsi="Calibri" w:eastAsia="宋体" w:cs="Times New Roman"/>
      <w:sz w:val="32"/>
      <w:lang w:val="en-US" w:eastAsia="zh-CN" w:bidi="ar-SA"/>
    </w:rPr>
  </w:style>
  <w:style w:type="paragraph" w:customStyle="1" w:styleId="238">
    <w:name w:val="TOC Heading1"/>
    <w:next w:val="1"/>
    <w:autoRedefine/>
    <w:qFormat/>
    <w:uiPriority w:val="0"/>
    <w:pPr>
      <w:wordWrap w:val="0"/>
    </w:pPr>
    <w:rPr>
      <w:rFonts w:ascii="Calibri" w:hAnsi="Calibri" w:eastAsia="宋体" w:cs="Times New Roman"/>
      <w:sz w:val="32"/>
      <w:lang w:val="en-US" w:eastAsia="zh-CN" w:bidi="ar-SA"/>
    </w:rPr>
  </w:style>
  <w:style w:type="paragraph" w:customStyle="1" w:styleId="239">
    <w:name w:val="toc 73"/>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240">
    <w:name w:val="font7"/>
    <w:basedOn w:val="1"/>
    <w:next w:val="241"/>
    <w:autoRedefine/>
    <w:qFormat/>
    <w:uiPriority w:val="0"/>
    <w:pPr>
      <w:widowControl/>
      <w:spacing w:before="280" w:after="280"/>
    </w:pPr>
    <w:rPr>
      <w:rFonts w:ascii="Arial" w:hAnsi="Calibri"/>
      <w:kern w:val="0"/>
      <w:sz w:val="18"/>
      <w:szCs w:val="20"/>
    </w:rPr>
  </w:style>
  <w:style w:type="paragraph" w:customStyle="1" w:styleId="241">
    <w:name w:val="toc 810"/>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242">
    <w:name w:val="xl113"/>
    <w:basedOn w:val="1"/>
    <w:next w:val="243"/>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243">
    <w:name w:val="TOC Heading10"/>
    <w:next w:val="1"/>
    <w:autoRedefine/>
    <w:qFormat/>
    <w:uiPriority w:val="0"/>
    <w:pPr>
      <w:wordWrap w:val="0"/>
    </w:pPr>
    <w:rPr>
      <w:rFonts w:ascii="Calibri" w:hAnsi="Calibri" w:eastAsia="宋体" w:cs="Times New Roman"/>
      <w:sz w:val="32"/>
      <w:lang w:val="en-US" w:eastAsia="zh-CN" w:bidi="ar-SA"/>
    </w:rPr>
  </w:style>
  <w:style w:type="paragraph" w:customStyle="1" w:styleId="244">
    <w:name w:val="toc 89"/>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245">
    <w:name w:val="xl73"/>
    <w:basedOn w:val="1"/>
    <w:next w:val="246"/>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246">
    <w:name w:val="toc 613"/>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247">
    <w:name w:val="xl79"/>
    <w:basedOn w:val="1"/>
    <w:next w:val="248"/>
    <w:autoRedefine/>
    <w:qFormat/>
    <w:uiPriority w:val="0"/>
    <w:pPr>
      <w:widowControl/>
      <w:shd w:val="clear" w:color="000000" w:fill="FFFFFF"/>
      <w:spacing w:before="280" w:after="280"/>
    </w:pPr>
    <w:rPr>
      <w:rFonts w:ascii="宋体" w:hAnsi="Calibri"/>
      <w:b/>
      <w:kern w:val="0"/>
      <w:sz w:val="20"/>
      <w:szCs w:val="20"/>
    </w:rPr>
  </w:style>
  <w:style w:type="paragraph" w:customStyle="1" w:styleId="248">
    <w:name w:val="toc 87"/>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249">
    <w:name w:val="toc 11"/>
    <w:next w:val="1"/>
    <w:autoRedefine/>
    <w:qFormat/>
    <w:uiPriority w:val="0"/>
    <w:pPr>
      <w:wordWrap w:val="0"/>
      <w:jc w:val="both"/>
    </w:pPr>
    <w:rPr>
      <w:rFonts w:ascii="Calibri" w:hAnsi="Calibri" w:eastAsia="宋体" w:cs="Times New Roman"/>
      <w:sz w:val="21"/>
      <w:lang w:val="en-US" w:eastAsia="zh-CN" w:bidi="ar-SA"/>
    </w:rPr>
  </w:style>
  <w:style w:type="paragraph" w:customStyle="1" w:styleId="250">
    <w:name w:val="toc 410"/>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51">
    <w:name w:val="toc 611"/>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252">
    <w:name w:val="xl112"/>
    <w:basedOn w:val="1"/>
    <w:next w:val="251"/>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253">
    <w:name w:val="toc 514"/>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254">
    <w:name w:val="toc 44"/>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55">
    <w:name w:val="toc 412"/>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56">
    <w:name w:val="xl74"/>
    <w:basedOn w:val="1"/>
    <w:next w:val="257"/>
    <w:autoRedefine/>
    <w:qFormat/>
    <w:uiPriority w:val="0"/>
    <w:pPr>
      <w:widowControl/>
      <w:shd w:val="clear" w:color="000000" w:fill="FFFFFF"/>
      <w:spacing w:before="280" w:after="280"/>
    </w:pPr>
    <w:rPr>
      <w:rFonts w:ascii="宋体" w:hAnsi="Calibri"/>
      <w:kern w:val="0"/>
      <w:sz w:val="20"/>
      <w:szCs w:val="20"/>
    </w:rPr>
  </w:style>
  <w:style w:type="paragraph" w:customStyle="1" w:styleId="257">
    <w:name w:val="toc 57"/>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258">
    <w:name w:val="toc 912"/>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259">
    <w:name w:val="toc 91"/>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260">
    <w:name w:val="toc 38"/>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261">
    <w:name w:val="toc 95"/>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262">
    <w:name w:val="列出段落5"/>
    <w:basedOn w:val="1"/>
    <w:next w:val="263"/>
    <w:autoRedefine/>
    <w:qFormat/>
    <w:uiPriority w:val="0"/>
    <w:pPr>
      <w:ind w:firstLine="420"/>
    </w:pPr>
    <w:rPr>
      <w:rFonts w:hAnsi="Calibri"/>
      <w:kern w:val="0"/>
      <w:szCs w:val="20"/>
    </w:rPr>
  </w:style>
  <w:style w:type="paragraph" w:customStyle="1" w:styleId="263">
    <w:name w:val="toc 312"/>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264">
    <w:name w:val="xl66"/>
    <w:basedOn w:val="1"/>
    <w:next w:val="265"/>
    <w:autoRedefine/>
    <w:qFormat/>
    <w:uiPriority w:val="0"/>
    <w:pPr>
      <w:widowControl/>
      <w:shd w:val="clear" w:color="000000" w:fill="FFFFFF"/>
      <w:spacing w:before="280" w:after="280"/>
    </w:pPr>
    <w:rPr>
      <w:rFonts w:ascii="宋体" w:hAnsi="Calibri"/>
      <w:kern w:val="0"/>
      <w:sz w:val="20"/>
      <w:szCs w:val="20"/>
    </w:rPr>
  </w:style>
  <w:style w:type="paragraph" w:customStyle="1" w:styleId="265">
    <w:name w:val="toc 56"/>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266">
    <w:name w:val="TOC Heading3"/>
    <w:next w:val="1"/>
    <w:autoRedefine/>
    <w:qFormat/>
    <w:uiPriority w:val="0"/>
    <w:pPr>
      <w:wordWrap w:val="0"/>
    </w:pPr>
    <w:rPr>
      <w:rFonts w:ascii="Calibri" w:hAnsi="Calibri" w:eastAsia="宋体" w:cs="Times New Roman"/>
      <w:sz w:val="32"/>
      <w:lang w:val="en-US" w:eastAsia="zh-CN" w:bidi="ar-SA"/>
    </w:rPr>
  </w:style>
  <w:style w:type="paragraph" w:customStyle="1" w:styleId="267">
    <w:name w:val="toc 65"/>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268">
    <w:name w:val="toc 25"/>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269">
    <w:name w:val="xl84"/>
    <w:basedOn w:val="1"/>
    <w:next w:val="270"/>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270">
    <w:name w:val="toc 99"/>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271">
    <w:name w:val="xl81"/>
    <w:basedOn w:val="1"/>
    <w:next w:val="272"/>
    <w:autoRedefine/>
    <w:qFormat/>
    <w:uiPriority w:val="0"/>
    <w:pPr>
      <w:widowControl/>
      <w:shd w:val="clear" w:color="000000" w:fill="FFFFFF"/>
      <w:spacing w:before="280" w:after="280"/>
    </w:pPr>
    <w:rPr>
      <w:rFonts w:ascii="宋体" w:hAnsi="Calibri"/>
      <w:kern w:val="0"/>
      <w:sz w:val="20"/>
      <w:szCs w:val="20"/>
    </w:rPr>
  </w:style>
  <w:style w:type="paragraph" w:customStyle="1" w:styleId="272">
    <w:name w:val="toc 59"/>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273">
    <w:name w:val="目录 11"/>
    <w:next w:val="1"/>
    <w:autoRedefine/>
    <w:qFormat/>
    <w:uiPriority w:val="0"/>
    <w:pPr>
      <w:wordWrap w:val="0"/>
      <w:jc w:val="both"/>
    </w:pPr>
    <w:rPr>
      <w:rFonts w:ascii="Calibri" w:hAnsi="Calibri" w:eastAsia="宋体" w:cs="Times New Roman"/>
      <w:sz w:val="21"/>
      <w:lang w:val="en-US" w:eastAsia="zh-CN" w:bidi="ar-SA"/>
    </w:rPr>
  </w:style>
  <w:style w:type="paragraph" w:customStyle="1" w:styleId="274">
    <w:name w:val="toc 513"/>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275">
    <w:name w:val="TOC Heading12"/>
    <w:next w:val="1"/>
    <w:autoRedefine/>
    <w:qFormat/>
    <w:uiPriority w:val="0"/>
    <w:pPr>
      <w:wordWrap w:val="0"/>
    </w:pPr>
    <w:rPr>
      <w:rFonts w:ascii="Calibri" w:hAnsi="Calibri" w:eastAsia="宋体" w:cs="Times New Roman"/>
      <w:sz w:val="32"/>
      <w:lang w:val="en-US" w:eastAsia="zh-CN" w:bidi="ar-SA"/>
    </w:rPr>
  </w:style>
  <w:style w:type="paragraph" w:customStyle="1" w:styleId="276">
    <w:name w:val="TOC Heading8"/>
    <w:next w:val="1"/>
    <w:autoRedefine/>
    <w:qFormat/>
    <w:uiPriority w:val="0"/>
    <w:pPr>
      <w:wordWrap w:val="0"/>
    </w:pPr>
    <w:rPr>
      <w:rFonts w:ascii="Calibri" w:hAnsi="Calibri" w:eastAsia="宋体" w:cs="Times New Roman"/>
      <w:sz w:val="32"/>
      <w:lang w:val="en-US" w:eastAsia="zh-CN" w:bidi="ar-SA"/>
    </w:rPr>
  </w:style>
  <w:style w:type="paragraph" w:customStyle="1" w:styleId="277">
    <w:name w:val="toc 71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278">
    <w:name w:val="toc 212"/>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279">
    <w:name w:val="目录 21"/>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280">
    <w:name w:val="toc 45"/>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81">
    <w:name w:val="xl116"/>
    <w:basedOn w:val="1"/>
    <w:next w:val="282"/>
    <w:autoRedefine/>
    <w:qFormat/>
    <w:uiPriority w:val="0"/>
    <w:pPr>
      <w:widowControl/>
      <w:shd w:val="clear" w:color="000000" w:fill="FFFFFF"/>
      <w:spacing w:before="280" w:after="280"/>
      <w:jc w:val="center"/>
    </w:pPr>
    <w:rPr>
      <w:rFonts w:ascii="Arial Narrow" w:hAnsi="Calibri"/>
      <w:kern w:val="0"/>
      <w:sz w:val="20"/>
      <w:szCs w:val="20"/>
    </w:rPr>
  </w:style>
  <w:style w:type="paragraph" w:customStyle="1" w:styleId="282">
    <w:name w:val="toc 78"/>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283">
    <w:name w:val="font8"/>
    <w:basedOn w:val="1"/>
    <w:next w:val="284"/>
    <w:autoRedefine/>
    <w:qFormat/>
    <w:uiPriority w:val="0"/>
    <w:pPr>
      <w:widowControl/>
      <w:spacing w:before="280" w:after="280"/>
    </w:pPr>
    <w:rPr>
      <w:rFonts w:ascii="Arial" w:hAnsi="Calibri"/>
      <w:kern w:val="0"/>
      <w:sz w:val="20"/>
      <w:szCs w:val="20"/>
    </w:rPr>
  </w:style>
  <w:style w:type="paragraph" w:customStyle="1" w:styleId="284">
    <w:name w:val="TOC Heading11"/>
    <w:next w:val="1"/>
    <w:autoRedefine/>
    <w:qFormat/>
    <w:uiPriority w:val="0"/>
    <w:pPr>
      <w:wordWrap w:val="0"/>
    </w:pPr>
    <w:rPr>
      <w:rFonts w:ascii="Calibri" w:hAnsi="Calibri" w:eastAsia="宋体" w:cs="Times New Roman"/>
      <w:sz w:val="32"/>
      <w:lang w:val="en-US" w:eastAsia="zh-CN" w:bidi="ar-SA"/>
    </w:rPr>
  </w:style>
  <w:style w:type="paragraph" w:customStyle="1" w:styleId="285">
    <w:name w:val="xl69"/>
    <w:basedOn w:val="1"/>
    <w:next w:val="286"/>
    <w:autoRedefine/>
    <w:qFormat/>
    <w:uiPriority w:val="0"/>
    <w:pPr>
      <w:widowControl/>
      <w:shd w:val="clear" w:color="000000" w:fill="FFFFFF"/>
      <w:spacing w:before="280" w:after="280"/>
    </w:pPr>
    <w:rPr>
      <w:rFonts w:ascii="宋体" w:hAnsi="Calibri"/>
      <w:b/>
      <w:kern w:val="0"/>
      <w:sz w:val="20"/>
      <w:szCs w:val="20"/>
    </w:rPr>
  </w:style>
  <w:style w:type="paragraph" w:customStyle="1" w:styleId="286">
    <w:name w:val="toc 48"/>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287">
    <w:name w:val="toc 813"/>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288">
    <w:name w:val="目录 91"/>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289">
    <w:name w:val="列出段落3"/>
    <w:basedOn w:val="1"/>
    <w:next w:val="290"/>
    <w:autoRedefine/>
    <w:qFormat/>
    <w:uiPriority w:val="0"/>
    <w:pPr>
      <w:ind w:firstLine="420"/>
    </w:pPr>
    <w:rPr>
      <w:rFonts w:hAnsi="Calibri"/>
      <w:kern w:val="0"/>
      <w:szCs w:val="20"/>
    </w:rPr>
  </w:style>
  <w:style w:type="paragraph" w:customStyle="1" w:styleId="290">
    <w:name w:val="toc 213"/>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291">
    <w:name w:val="TOC 标题1"/>
    <w:next w:val="1"/>
    <w:autoRedefine/>
    <w:qFormat/>
    <w:uiPriority w:val="0"/>
    <w:pPr>
      <w:wordWrap w:val="0"/>
    </w:pPr>
    <w:rPr>
      <w:rFonts w:ascii="Calibri" w:hAnsi="Calibri" w:eastAsia="宋体" w:cs="Times New Roman"/>
      <w:sz w:val="32"/>
      <w:lang w:val="en-US" w:eastAsia="zh-CN" w:bidi="ar-SA"/>
    </w:rPr>
  </w:style>
  <w:style w:type="paragraph" w:customStyle="1" w:styleId="292">
    <w:name w:val="TOC Heading5"/>
    <w:next w:val="1"/>
    <w:autoRedefine/>
    <w:qFormat/>
    <w:uiPriority w:val="0"/>
    <w:pPr>
      <w:wordWrap w:val="0"/>
    </w:pPr>
    <w:rPr>
      <w:rFonts w:ascii="Calibri" w:hAnsi="Calibri" w:eastAsia="宋体" w:cs="Times New Roman"/>
      <w:sz w:val="32"/>
      <w:lang w:val="en-US" w:eastAsia="zh-CN" w:bidi="ar-SA"/>
    </w:rPr>
  </w:style>
  <w:style w:type="paragraph" w:customStyle="1" w:styleId="293">
    <w:name w:val="toc 313"/>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294">
    <w:name w:val="toc 716"/>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295">
    <w:name w:val="xl115"/>
    <w:basedOn w:val="1"/>
    <w:next w:val="296"/>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296">
    <w:name w:val="toc 712"/>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297">
    <w:name w:val="toc 64"/>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298">
    <w:name w:val="toc 24"/>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299">
    <w:name w:val="toc 54"/>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00">
    <w:name w:val="xl93"/>
    <w:basedOn w:val="1"/>
    <w:next w:val="301"/>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01">
    <w:name w:val="toc 112"/>
    <w:next w:val="1"/>
    <w:autoRedefine/>
    <w:qFormat/>
    <w:uiPriority w:val="0"/>
    <w:pPr>
      <w:wordWrap w:val="0"/>
      <w:jc w:val="both"/>
    </w:pPr>
    <w:rPr>
      <w:rFonts w:ascii="Calibri" w:hAnsi="Calibri" w:eastAsia="宋体" w:cs="Times New Roman"/>
      <w:sz w:val="21"/>
      <w:lang w:val="en-US" w:eastAsia="zh-CN" w:bidi="ar-SA"/>
    </w:rPr>
  </w:style>
  <w:style w:type="paragraph" w:customStyle="1" w:styleId="302">
    <w:name w:val="xl96"/>
    <w:basedOn w:val="1"/>
    <w:next w:val="253"/>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03">
    <w:name w:val="xl106"/>
    <w:basedOn w:val="1"/>
    <w:next w:val="287"/>
    <w:autoRedefine/>
    <w:qFormat/>
    <w:uiPriority w:val="0"/>
    <w:pPr>
      <w:widowControl/>
      <w:shd w:val="clear" w:color="000000" w:fill="FFFFFF"/>
      <w:spacing w:before="280" w:after="280"/>
    </w:pPr>
    <w:rPr>
      <w:rFonts w:ascii="宋体" w:hAnsi="Calibri"/>
      <w:kern w:val="0"/>
      <w:sz w:val="20"/>
      <w:szCs w:val="20"/>
    </w:rPr>
  </w:style>
  <w:style w:type="paragraph" w:customStyle="1" w:styleId="304">
    <w:name w:val="toc 35"/>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05">
    <w:name w:val="TOC Heading14"/>
    <w:next w:val="1"/>
    <w:autoRedefine/>
    <w:qFormat/>
    <w:uiPriority w:val="0"/>
    <w:pPr>
      <w:wordWrap w:val="0"/>
    </w:pPr>
    <w:rPr>
      <w:rFonts w:ascii="Calibri" w:hAnsi="Calibri" w:eastAsia="宋体" w:cs="Times New Roman"/>
      <w:sz w:val="32"/>
      <w:lang w:val="en-US" w:eastAsia="zh-CN" w:bidi="ar-SA"/>
    </w:rPr>
  </w:style>
  <w:style w:type="paragraph" w:customStyle="1" w:styleId="306">
    <w:name w:val="Char Char Char Char Char Char Char1"/>
    <w:basedOn w:val="1"/>
    <w:next w:val="307"/>
    <w:autoRedefine/>
    <w:qFormat/>
    <w:uiPriority w:val="0"/>
    <w:pPr>
      <w:widowControl/>
      <w:spacing w:after="160" w:line="240" w:lineRule="exact"/>
    </w:pPr>
    <w:rPr>
      <w:rFonts w:hAnsi="Calibri"/>
      <w:kern w:val="0"/>
      <w:szCs w:val="20"/>
    </w:rPr>
  </w:style>
  <w:style w:type="paragraph" w:customStyle="1" w:styleId="307">
    <w:name w:val="toc 67"/>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308">
    <w:name w:val="列出段落4"/>
    <w:basedOn w:val="1"/>
    <w:next w:val="309"/>
    <w:autoRedefine/>
    <w:qFormat/>
    <w:uiPriority w:val="0"/>
    <w:pPr>
      <w:ind w:firstLine="420"/>
    </w:pPr>
    <w:rPr>
      <w:rFonts w:hAnsi="Calibri"/>
      <w:kern w:val="0"/>
      <w:szCs w:val="20"/>
    </w:rPr>
  </w:style>
  <w:style w:type="paragraph" w:customStyle="1" w:styleId="309">
    <w:name w:val="TOC Heading9"/>
    <w:next w:val="1"/>
    <w:autoRedefine/>
    <w:qFormat/>
    <w:uiPriority w:val="0"/>
    <w:pPr>
      <w:wordWrap w:val="0"/>
    </w:pPr>
    <w:rPr>
      <w:rFonts w:ascii="Calibri" w:hAnsi="Calibri" w:eastAsia="宋体" w:cs="Times New Roman"/>
      <w:sz w:val="32"/>
      <w:lang w:val="en-US" w:eastAsia="zh-CN" w:bidi="ar-SA"/>
    </w:rPr>
  </w:style>
  <w:style w:type="paragraph" w:customStyle="1" w:styleId="310">
    <w:name w:val="xl71"/>
    <w:basedOn w:val="1"/>
    <w:next w:val="311"/>
    <w:autoRedefine/>
    <w:qFormat/>
    <w:uiPriority w:val="0"/>
    <w:pPr>
      <w:widowControl/>
      <w:shd w:val="clear" w:color="000000" w:fill="FFFFFF"/>
      <w:spacing w:before="280" w:after="280"/>
    </w:pPr>
    <w:rPr>
      <w:rFonts w:ascii="宋体" w:hAnsi="Calibri"/>
      <w:kern w:val="0"/>
      <w:sz w:val="24"/>
      <w:szCs w:val="20"/>
    </w:rPr>
  </w:style>
  <w:style w:type="paragraph" w:customStyle="1" w:styleId="311">
    <w:name w:val="toc 115"/>
    <w:next w:val="1"/>
    <w:autoRedefine/>
    <w:qFormat/>
    <w:uiPriority w:val="0"/>
    <w:pPr>
      <w:wordWrap w:val="0"/>
      <w:jc w:val="both"/>
    </w:pPr>
    <w:rPr>
      <w:rFonts w:ascii="Calibri" w:hAnsi="Calibri" w:eastAsia="宋体" w:cs="Times New Roman"/>
      <w:sz w:val="21"/>
      <w:lang w:val="en-US" w:eastAsia="zh-CN" w:bidi="ar-SA"/>
    </w:rPr>
  </w:style>
  <w:style w:type="paragraph" w:customStyle="1" w:styleId="312">
    <w:name w:val="toc 51"/>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13">
    <w:name w:val="toc 47"/>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14">
    <w:name w:val="xl108"/>
    <w:basedOn w:val="1"/>
    <w:next w:val="315"/>
    <w:autoRedefine/>
    <w:qFormat/>
    <w:uiPriority w:val="0"/>
    <w:pPr>
      <w:widowControl/>
      <w:shd w:val="clear" w:color="000000" w:fill="FFFFFF"/>
      <w:spacing w:before="280" w:after="280"/>
    </w:pPr>
    <w:rPr>
      <w:rFonts w:ascii="宋体" w:hAnsi="Calibri"/>
      <w:kern w:val="0"/>
      <w:sz w:val="18"/>
      <w:szCs w:val="20"/>
    </w:rPr>
  </w:style>
  <w:style w:type="paragraph" w:customStyle="1" w:styleId="315">
    <w:name w:val="toc 18"/>
    <w:next w:val="1"/>
    <w:autoRedefine/>
    <w:qFormat/>
    <w:uiPriority w:val="0"/>
    <w:pPr>
      <w:wordWrap w:val="0"/>
      <w:jc w:val="both"/>
    </w:pPr>
    <w:rPr>
      <w:rFonts w:ascii="Calibri" w:hAnsi="Calibri" w:eastAsia="宋体" w:cs="Times New Roman"/>
      <w:sz w:val="21"/>
      <w:lang w:val="en-US" w:eastAsia="zh-CN" w:bidi="ar-SA"/>
    </w:rPr>
  </w:style>
  <w:style w:type="paragraph" w:customStyle="1" w:styleId="316">
    <w:name w:val="TOC Heading7"/>
    <w:next w:val="1"/>
    <w:autoRedefine/>
    <w:qFormat/>
    <w:uiPriority w:val="0"/>
    <w:pPr>
      <w:wordWrap w:val="0"/>
    </w:pPr>
    <w:rPr>
      <w:rFonts w:ascii="Calibri" w:hAnsi="Calibri" w:eastAsia="宋体" w:cs="Times New Roman"/>
      <w:sz w:val="32"/>
      <w:lang w:val="en-US" w:eastAsia="zh-CN" w:bidi="ar-SA"/>
    </w:rPr>
  </w:style>
  <w:style w:type="character" w:customStyle="1" w:styleId="317">
    <w:name w:val="副标题 Char"/>
    <w:basedOn w:val="46"/>
    <w:link w:val="32"/>
    <w:autoRedefine/>
    <w:qFormat/>
    <w:uiPriority w:val="0"/>
    <w:rPr>
      <w:rFonts w:ascii="Calibri" w:hAnsi="Calibri"/>
      <w:sz w:val="24"/>
    </w:rPr>
  </w:style>
  <w:style w:type="paragraph" w:customStyle="1" w:styleId="318">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319">
    <w:name w:val="toc 413"/>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20">
    <w:name w:val="toc 85"/>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21">
    <w:name w:val="列出段落6"/>
    <w:basedOn w:val="1"/>
    <w:next w:val="322"/>
    <w:autoRedefine/>
    <w:qFormat/>
    <w:uiPriority w:val="0"/>
    <w:pPr>
      <w:ind w:firstLine="420"/>
    </w:pPr>
    <w:rPr>
      <w:rFonts w:hAnsi="Calibri"/>
      <w:kern w:val="0"/>
      <w:szCs w:val="20"/>
    </w:rPr>
  </w:style>
  <w:style w:type="paragraph" w:customStyle="1" w:styleId="322">
    <w:name w:val="toc 86"/>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23">
    <w:name w:val="xl80"/>
    <w:basedOn w:val="1"/>
    <w:next w:val="324"/>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324">
    <w:name w:val="toc 49"/>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25">
    <w:name w:val="Char Char Char Char1"/>
    <w:basedOn w:val="1"/>
    <w:next w:val="326"/>
    <w:autoRedefine/>
    <w:qFormat/>
    <w:uiPriority w:val="0"/>
    <w:pPr>
      <w:widowControl/>
      <w:spacing w:after="160" w:line="240" w:lineRule="exact"/>
    </w:pPr>
    <w:rPr>
      <w:rFonts w:ascii="Verdana" w:hAnsi="Calibri" w:eastAsia="仿宋_GB2312"/>
      <w:kern w:val="0"/>
      <w:sz w:val="24"/>
      <w:szCs w:val="20"/>
    </w:rPr>
  </w:style>
  <w:style w:type="paragraph" w:customStyle="1" w:styleId="326">
    <w:name w:val="toc 713"/>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327">
    <w:name w:val="xl102"/>
    <w:basedOn w:val="1"/>
    <w:next w:val="328"/>
    <w:autoRedefine/>
    <w:qFormat/>
    <w:uiPriority w:val="0"/>
    <w:pPr>
      <w:widowControl/>
      <w:shd w:val="clear" w:color="000000" w:fill="FFFFFF"/>
      <w:spacing w:before="280" w:after="280"/>
      <w:jc w:val="right"/>
    </w:pPr>
    <w:rPr>
      <w:rFonts w:ascii="宋体" w:hAnsi="Calibri"/>
      <w:kern w:val="0"/>
      <w:sz w:val="20"/>
      <w:szCs w:val="20"/>
    </w:rPr>
  </w:style>
  <w:style w:type="paragraph" w:customStyle="1" w:styleId="328">
    <w:name w:val="toc 17"/>
    <w:next w:val="1"/>
    <w:autoRedefine/>
    <w:qFormat/>
    <w:uiPriority w:val="0"/>
    <w:pPr>
      <w:wordWrap w:val="0"/>
      <w:jc w:val="both"/>
    </w:pPr>
    <w:rPr>
      <w:rFonts w:ascii="Calibri" w:hAnsi="Calibri" w:eastAsia="宋体" w:cs="Times New Roman"/>
      <w:sz w:val="21"/>
      <w:lang w:val="en-US" w:eastAsia="zh-CN" w:bidi="ar-SA"/>
    </w:rPr>
  </w:style>
  <w:style w:type="paragraph" w:customStyle="1" w:styleId="329">
    <w:name w:val="toc 46"/>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30">
    <w:name w:val="toc 311"/>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31">
    <w:name w:val="xl65"/>
    <w:basedOn w:val="1"/>
    <w:next w:val="232"/>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32">
    <w:name w:val="toc 94"/>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333">
    <w:name w:val="toc 55"/>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34">
    <w:name w:val="toc 812"/>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35">
    <w:name w:val="xl75"/>
    <w:basedOn w:val="1"/>
    <w:next w:val="336"/>
    <w:autoRedefine/>
    <w:qFormat/>
    <w:uiPriority w:val="0"/>
    <w:pPr>
      <w:widowControl/>
      <w:shd w:val="clear" w:color="000000" w:fill="FFFFFF"/>
      <w:spacing w:before="280" w:after="280"/>
    </w:pPr>
    <w:rPr>
      <w:rFonts w:ascii="宋体" w:hAnsi="Calibri"/>
      <w:kern w:val="0"/>
      <w:sz w:val="20"/>
      <w:szCs w:val="20"/>
    </w:rPr>
  </w:style>
  <w:style w:type="paragraph" w:customStyle="1" w:styleId="336">
    <w:name w:val="toc 914"/>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337">
    <w:name w:val="toc 19"/>
    <w:next w:val="1"/>
    <w:autoRedefine/>
    <w:qFormat/>
    <w:uiPriority w:val="0"/>
    <w:pPr>
      <w:wordWrap w:val="0"/>
      <w:jc w:val="both"/>
    </w:pPr>
    <w:rPr>
      <w:rFonts w:ascii="Calibri" w:hAnsi="Calibri" w:eastAsia="宋体" w:cs="Times New Roman"/>
      <w:sz w:val="21"/>
      <w:lang w:val="en-US" w:eastAsia="zh-CN" w:bidi="ar-SA"/>
    </w:rPr>
  </w:style>
  <w:style w:type="paragraph" w:customStyle="1" w:styleId="338">
    <w:name w:val="TOC Heading6"/>
    <w:next w:val="1"/>
    <w:autoRedefine/>
    <w:qFormat/>
    <w:uiPriority w:val="0"/>
    <w:pPr>
      <w:wordWrap w:val="0"/>
    </w:pPr>
    <w:rPr>
      <w:rFonts w:ascii="Calibri" w:hAnsi="Calibri" w:eastAsia="宋体" w:cs="Times New Roman"/>
      <w:sz w:val="32"/>
      <w:lang w:val="en-US" w:eastAsia="zh-CN" w:bidi="ar-SA"/>
    </w:rPr>
  </w:style>
  <w:style w:type="paragraph" w:customStyle="1" w:styleId="339">
    <w:name w:val="toc 52"/>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40">
    <w:name w:val="toc 36"/>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41">
    <w:name w:val="toc 82"/>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42">
    <w:name w:val="xl104"/>
    <w:basedOn w:val="1"/>
    <w:next w:val="343"/>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43">
    <w:name w:val="toc 210"/>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344">
    <w:name w:val="toc 110"/>
    <w:next w:val="1"/>
    <w:autoRedefine/>
    <w:qFormat/>
    <w:uiPriority w:val="0"/>
    <w:pPr>
      <w:wordWrap w:val="0"/>
      <w:jc w:val="both"/>
    </w:pPr>
    <w:rPr>
      <w:rFonts w:ascii="Calibri" w:hAnsi="Calibri" w:eastAsia="宋体" w:cs="Times New Roman"/>
      <w:sz w:val="21"/>
      <w:lang w:val="en-US" w:eastAsia="zh-CN" w:bidi="ar-SA"/>
    </w:rPr>
  </w:style>
  <w:style w:type="paragraph" w:customStyle="1" w:styleId="345">
    <w:name w:val="toc 66"/>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346">
    <w:name w:val="toc 31"/>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47">
    <w:name w:val="toc 93"/>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348">
    <w:name w:val="toc 614"/>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349">
    <w:name w:val="无间隔1"/>
    <w:next w:val="344"/>
    <w:autoRedefine/>
    <w:qFormat/>
    <w:uiPriority w:val="0"/>
    <w:pPr>
      <w:widowControl w:val="0"/>
      <w:jc w:val="both"/>
    </w:pPr>
    <w:rPr>
      <w:rFonts w:ascii="Calibri" w:hAnsi="Calibri" w:eastAsia="宋体" w:cs="Times New Roman"/>
      <w:sz w:val="22"/>
      <w:lang w:val="en-US" w:eastAsia="zh-CN" w:bidi="ar-SA"/>
    </w:rPr>
  </w:style>
  <w:style w:type="paragraph" w:customStyle="1" w:styleId="350">
    <w:name w:val="目录 41"/>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51">
    <w:name w:val="xl105"/>
    <w:basedOn w:val="1"/>
    <w:next w:val="352"/>
    <w:autoRedefine/>
    <w:qFormat/>
    <w:uiPriority w:val="0"/>
    <w:pPr>
      <w:widowControl/>
      <w:shd w:val="clear" w:color="000000" w:fill="FFFFFF"/>
      <w:spacing w:before="280" w:after="280"/>
    </w:pPr>
    <w:rPr>
      <w:rFonts w:ascii="宋体" w:hAnsi="Calibri"/>
      <w:kern w:val="0"/>
      <w:sz w:val="18"/>
      <w:szCs w:val="20"/>
    </w:rPr>
  </w:style>
  <w:style w:type="paragraph" w:customStyle="1" w:styleId="352">
    <w:name w:val="toc 615"/>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353">
    <w:name w:val="toc 41"/>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54">
    <w:name w:val="toc 81"/>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55">
    <w:name w:val="xl111"/>
    <w:basedOn w:val="1"/>
    <w:next w:val="356"/>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356">
    <w:name w:val="toc 88"/>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57">
    <w:name w:val="toc 84"/>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58">
    <w:name w:val="p0"/>
    <w:basedOn w:val="1"/>
    <w:next w:val="359"/>
    <w:autoRedefine/>
    <w:qFormat/>
    <w:uiPriority w:val="0"/>
    <w:pPr>
      <w:widowControl/>
      <w:spacing w:before="280" w:after="280"/>
    </w:pPr>
    <w:rPr>
      <w:rFonts w:ascii="宋体" w:hAnsi="Calibri"/>
      <w:kern w:val="0"/>
      <w:sz w:val="24"/>
      <w:szCs w:val="20"/>
    </w:rPr>
  </w:style>
  <w:style w:type="paragraph" w:customStyle="1" w:styleId="359">
    <w:name w:val="toc 69"/>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360">
    <w:name w:val="列出段落11"/>
    <w:basedOn w:val="1"/>
    <w:next w:val="361"/>
    <w:autoRedefine/>
    <w:qFormat/>
    <w:uiPriority w:val="0"/>
    <w:pPr>
      <w:widowControl/>
      <w:spacing w:line="360" w:lineRule="auto"/>
      <w:ind w:firstLine="420"/>
    </w:pPr>
    <w:rPr>
      <w:rFonts w:hAnsi="Calibri" w:eastAsia="微软雅黑"/>
      <w:kern w:val="0"/>
      <w:sz w:val="24"/>
      <w:szCs w:val="20"/>
    </w:rPr>
  </w:style>
  <w:style w:type="paragraph" w:customStyle="1" w:styleId="361">
    <w:name w:val="toc 214"/>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362">
    <w:name w:val="toc 63"/>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363">
    <w:name w:val="xl91"/>
    <w:basedOn w:val="1"/>
    <w:next w:val="260"/>
    <w:autoRedefine/>
    <w:qFormat/>
    <w:uiPriority w:val="0"/>
    <w:pPr>
      <w:widowControl/>
      <w:shd w:val="clear" w:color="000000" w:fill="FFFFFF"/>
      <w:spacing w:before="280" w:after="280"/>
    </w:pPr>
    <w:rPr>
      <w:rFonts w:ascii="宋体" w:hAnsi="Calibri"/>
      <w:kern w:val="0"/>
      <w:sz w:val="20"/>
      <w:szCs w:val="20"/>
    </w:rPr>
  </w:style>
  <w:style w:type="paragraph" w:customStyle="1" w:styleId="364">
    <w:name w:val="toc 316"/>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65">
    <w:name w:val="_Style 1"/>
    <w:basedOn w:val="1"/>
    <w:next w:val="366"/>
    <w:autoRedefine/>
    <w:qFormat/>
    <w:uiPriority w:val="0"/>
    <w:pPr>
      <w:ind w:firstLine="420"/>
    </w:pPr>
    <w:rPr>
      <w:rFonts w:hAnsi="Calibri"/>
      <w:kern w:val="0"/>
      <w:szCs w:val="20"/>
    </w:rPr>
  </w:style>
  <w:style w:type="paragraph" w:customStyle="1" w:styleId="366">
    <w:name w:val="TOC Heading13"/>
    <w:next w:val="1"/>
    <w:autoRedefine/>
    <w:qFormat/>
    <w:uiPriority w:val="0"/>
    <w:pPr>
      <w:wordWrap w:val="0"/>
    </w:pPr>
    <w:rPr>
      <w:rFonts w:ascii="Calibri" w:hAnsi="Calibri" w:eastAsia="宋体" w:cs="Times New Roman"/>
      <w:sz w:val="32"/>
      <w:lang w:val="en-US" w:eastAsia="zh-CN" w:bidi="ar-SA"/>
    </w:rPr>
  </w:style>
  <w:style w:type="paragraph" w:customStyle="1" w:styleId="367">
    <w:name w:val="toc 116"/>
    <w:next w:val="1"/>
    <w:autoRedefine/>
    <w:qFormat/>
    <w:uiPriority w:val="0"/>
    <w:pPr>
      <w:wordWrap w:val="0"/>
      <w:jc w:val="both"/>
    </w:pPr>
    <w:rPr>
      <w:rFonts w:ascii="Calibri" w:hAnsi="Calibri" w:eastAsia="宋体" w:cs="Times New Roman"/>
      <w:sz w:val="21"/>
      <w:lang w:val="en-US" w:eastAsia="zh-CN" w:bidi="ar-SA"/>
    </w:rPr>
  </w:style>
  <w:style w:type="paragraph" w:customStyle="1" w:styleId="368">
    <w:name w:val="toc 72"/>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369">
    <w:name w:val="x_msonormal"/>
    <w:basedOn w:val="1"/>
    <w:next w:val="319"/>
    <w:autoRedefine/>
    <w:qFormat/>
    <w:uiPriority w:val="0"/>
    <w:pPr>
      <w:widowControl/>
      <w:spacing w:before="280" w:after="280"/>
    </w:pPr>
    <w:rPr>
      <w:rFonts w:ascii="PMingLiU" w:hAnsi="Calibri" w:eastAsia="PMingLiU"/>
      <w:kern w:val="0"/>
      <w:sz w:val="24"/>
      <w:szCs w:val="20"/>
    </w:rPr>
  </w:style>
  <w:style w:type="paragraph" w:customStyle="1" w:styleId="370">
    <w:name w:val="toc 310"/>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71">
    <w:name w:val="toc 83"/>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72">
    <w:name w:val="TOC Heading17"/>
    <w:next w:val="1"/>
    <w:autoRedefine/>
    <w:qFormat/>
    <w:uiPriority w:val="0"/>
    <w:pPr>
      <w:wordWrap w:val="0"/>
    </w:pPr>
    <w:rPr>
      <w:rFonts w:ascii="Calibri" w:hAnsi="Calibri" w:eastAsia="宋体" w:cs="Times New Roman"/>
      <w:sz w:val="32"/>
      <w:lang w:val="en-US" w:eastAsia="zh-CN" w:bidi="ar-SA"/>
    </w:rPr>
  </w:style>
  <w:style w:type="paragraph" w:customStyle="1" w:styleId="373">
    <w:name w:val="toc 911"/>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374">
    <w:name w:val="toc 811"/>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75">
    <w:name w:val="目录 31"/>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376">
    <w:name w:val="xl118"/>
    <w:basedOn w:val="1"/>
    <w:next w:val="250"/>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377">
    <w:name w:val="xl83"/>
    <w:basedOn w:val="1"/>
    <w:next w:val="305"/>
    <w:autoRedefine/>
    <w:qFormat/>
    <w:uiPriority w:val="0"/>
    <w:pPr>
      <w:widowControl/>
      <w:shd w:val="clear" w:color="000000" w:fill="FFFFFF"/>
      <w:spacing w:before="280" w:after="280"/>
    </w:pPr>
    <w:rPr>
      <w:rFonts w:ascii="宋体" w:hAnsi="Calibri"/>
      <w:kern w:val="0"/>
      <w:sz w:val="20"/>
      <w:szCs w:val="20"/>
    </w:rPr>
  </w:style>
  <w:style w:type="paragraph" w:customStyle="1" w:styleId="378">
    <w:name w:val="xl103"/>
    <w:basedOn w:val="1"/>
    <w:next w:val="379"/>
    <w:autoRedefine/>
    <w:qFormat/>
    <w:uiPriority w:val="0"/>
    <w:pPr>
      <w:widowControl/>
      <w:shd w:val="clear" w:color="000000" w:fill="FFFFFF"/>
      <w:spacing w:before="280" w:after="280"/>
    </w:pPr>
    <w:rPr>
      <w:rFonts w:ascii="宋体" w:hAnsi="Calibri"/>
      <w:kern w:val="0"/>
      <w:sz w:val="20"/>
      <w:szCs w:val="20"/>
    </w:rPr>
  </w:style>
  <w:style w:type="paragraph" w:customStyle="1" w:styleId="379">
    <w:name w:val="toc 111"/>
    <w:next w:val="1"/>
    <w:autoRedefine/>
    <w:qFormat/>
    <w:uiPriority w:val="0"/>
    <w:pPr>
      <w:wordWrap w:val="0"/>
      <w:jc w:val="both"/>
    </w:pPr>
    <w:rPr>
      <w:rFonts w:ascii="Calibri" w:hAnsi="Calibri" w:eastAsia="宋体" w:cs="Times New Roman"/>
      <w:sz w:val="21"/>
      <w:lang w:val="en-US" w:eastAsia="zh-CN" w:bidi="ar-SA"/>
    </w:rPr>
  </w:style>
  <w:style w:type="paragraph" w:customStyle="1" w:styleId="380">
    <w:name w:val="xl68"/>
    <w:basedOn w:val="1"/>
    <w:next w:val="381"/>
    <w:autoRedefine/>
    <w:qFormat/>
    <w:uiPriority w:val="0"/>
    <w:pPr>
      <w:widowControl/>
      <w:shd w:val="clear" w:color="000000" w:fill="FFFFFF"/>
      <w:spacing w:before="280" w:after="280"/>
    </w:pPr>
    <w:rPr>
      <w:rFonts w:ascii="宋体" w:hAnsi="Calibri"/>
      <w:b/>
      <w:kern w:val="0"/>
      <w:sz w:val="20"/>
      <w:szCs w:val="20"/>
    </w:rPr>
  </w:style>
  <w:style w:type="paragraph" w:customStyle="1" w:styleId="381">
    <w:name w:val="TOC Heading16"/>
    <w:next w:val="1"/>
    <w:autoRedefine/>
    <w:qFormat/>
    <w:uiPriority w:val="0"/>
    <w:pPr>
      <w:wordWrap w:val="0"/>
    </w:pPr>
    <w:rPr>
      <w:rFonts w:ascii="Calibri" w:hAnsi="Calibri" w:eastAsia="宋体" w:cs="Times New Roman"/>
      <w:sz w:val="32"/>
      <w:lang w:val="en-US" w:eastAsia="zh-CN" w:bidi="ar-SA"/>
    </w:rPr>
  </w:style>
  <w:style w:type="paragraph" w:customStyle="1" w:styleId="382">
    <w:name w:val="toc 113"/>
    <w:next w:val="1"/>
    <w:autoRedefine/>
    <w:qFormat/>
    <w:uiPriority w:val="0"/>
    <w:pPr>
      <w:wordWrap w:val="0"/>
      <w:jc w:val="both"/>
    </w:pPr>
    <w:rPr>
      <w:rFonts w:ascii="Calibri" w:hAnsi="Calibri" w:eastAsia="宋体" w:cs="Times New Roman"/>
      <w:sz w:val="21"/>
      <w:lang w:val="en-US" w:eastAsia="zh-CN" w:bidi="ar-SA"/>
    </w:rPr>
  </w:style>
  <w:style w:type="paragraph" w:customStyle="1" w:styleId="383">
    <w:name w:val="xl94"/>
    <w:basedOn w:val="1"/>
    <w:next w:val="274"/>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84">
    <w:name w:val="toc 53"/>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85">
    <w:name w:val="xl92"/>
    <w:basedOn w:val="1"/>
    <w:next w:val="386"/>
    <w:autoRedefine/>
    <w:qFormat/>
    <w:uiPriority w:val="0"/>
    <w:pPr>
      <w:widowControl/>
      <w:shd w:val="clear" w:color="000000" w:fill="FFFFFF"/>
      <w:spacing w:before="280" w:after="280"/>
    </w:pPr>
    <w:rPr>
      <w:rFonts w:ascii="宋体" w:hAnsi="Calibri"/>
      <w:kern w:val="0"/>
      <w:sz w:val="20"/>
      <w:szCs w:val="20"/>
    </w:rPr>
  </w:style>
  <w:style w:type="paragraph" w:customStyle="1" w:styleId="386">
    <w:name w:val="toc 913"/>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387">
    <w:name w:val="toc 512"/>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88">
    <w:name w:val="目录 81"/>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389">
    <w:name w:val="正文表标题"/>
    <w:next w:val="1"/>
    <w:autoRedefine/>
    <w:qFormat/>
    <w:uiPriority w:val="0"/>
    <w:pPr>
      <w:ind w:left="630"/>
      <w:jc w:val="center"/>
    </w:pPr>
    <w:rPr>
      <w:rFonts w:ascii="黑体" w:hAnsi="Calibri" w:eastAsia="黑体" w:cs="Times New Roman"/>
      <w:sz w:val="21"/>
      <w:lang w:val="en-US" w:eastAsia="zh-CN" w:bidi="ar-SA"/>
    </w:rPr>
  </w:style>
  <w:style w:type="paragraph" w:customStyle="1" w:styleId="390">
    <w:name w:val="toc 28"/>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391">
    <w:name w:val="toc 79"/>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392">
    <w:name w:val="xl110"/>
    <w:basedOn w:val="1"/>
    <w:next w:val="348"/>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93">
    <w:name w:val="toc 511"/>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394">
    <w:name w:val="toc 416"/>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395">
    <w:name w:val="xl85"/>
    <w:basedOn w:val="1"/>
    <w:next w:val="396"/>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396">
    <w:name w:val="toc 76"/>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397">
    <w:name w:val="toc 27"/>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398">
    <w:name w:val="toc 916"/>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399">
    <w:name w:val="toc 77"/>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00">
    <w:name w:val="toc 211"/>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01">
    <w:name w:val="toc 815"/>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402">
    <w:name w:val="xl99"/>
    <w:basedOn w:val="1"/>
    <w:next w:val="387"/>
    <w:autoRedefine/>
    <w:qFormat/>
    <w:uiPriority w:val="0"/>
    <w:pPr>
      <w:widowControl/>
      <w:shd w:val="clear" w:color="000000" w:fill="FFFFFF"/>
      <w:spacing w:before="280" w:after="280"/>
    </w:pPr>
    <w:rPr>
      <w:rFonts w:ascii="宋体" w:hAnsi="Calibri"/>
      <w:kern w:val="0"/>
      <w:sz w:val="18"/>
      <w:szCs w:val="20"/>
    </w:rPr>
  </w:style>
  <w:style w:type="paragraph" w:customStyle="1" w:styleId="403">
    <w:name w:val="xl97"/>
    <w:basedOn w:val="1"/>
    <w:next w:val="275"/>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404">
    <w:name w:val="toc 612"/>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405">
    <w:name w:val="toc 315"/>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06">
    <w:name w:val="TOC Heading15"/>
    <w:next w:val="1"/>
    <w:autoRedefine/>
    <w:qFormat/>
    <w:uiPriority w:val="0"/>
    <w:pPr>
      <w:wordWrap w:val="0"/>
    </w:pPr>
    <w:rPr>
      <w:rFonts w:ascii="Calibri" w:hAnsi="Calibri" w:eastAsia="宋体" w:cs="Times New Roman"/>
      <w:sz w:val="32"/>
      <w:lang w:val="en-US" w:eastAsia="zh-CN" w:bidi="ar-SA"/>
    </w:rPr>
  </w:style>
  <w:style w:type="paragraph" w:customStyle="1" w:styleId="407">
    <w:name w:val="toc 915"/>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08">
    <w:name w:val="toc 39"/>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09">
    <w:name w:val="toc 710"/>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10">
    <w:name w:val="toc 12"/>
    <w:next w:val="1"/>
    <w:autoRedefine/>
    <w:qFormat/>
    <w:uiPriority w:val="0"/>
    <w:pPr>
      <w:wordWrap w:val="0"/>
      <w:jc w:val="both"/>
    </w:pPr>
    <w:rPr>
      <w:rFonts w:ascii="Calibri" w:hAnsi="Calibri" w:eastAsia="宋体" w:cs="Times New Roman"/>
      <w:sz w:val="21"/>
      <w:lang w:val="en-US" w:eastAsia="zh-CN" w:bidi="ar-SA"/>
    </w:rPr>
  </w:style>
  <w:style w:type="paragraph" w:customStyle="1" w:styleId="411">
    <w:name w:val="xl95"/>
    <w:basedOn w:val="1"/>
    <w:next w:val="412"/>
    <w:autoRedefine/>
    <w:qFormat/>
    <w:uiPriority w:val="0"/>
    <w:pPr>
      <w:widowControl/>
      <w:shd w:val="clear" w:color="000000" w:fill="FFFFFF"/>
      <w:spacing w:before="280" w:after="280"/>
    </w:pPr>
    <w:rPr>
      <w:rFonts w:ascii="宋体" w:hAnsi="Calibri"/>
      <w:kern w:val="0"/>
      <w:sz w:val="20"/>
      <w:szCs w:val="20"/>
    </w:rPr>
  </w:style>
  <w:style w:type="paragraph" w:customStyle="1" w:styleId="412">
    <w:name w:val="toc 415"/>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413">
    <w:name w:val="toc 29"/>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14">
    <w:name w:val="xl67"/>
    <w:basedOn w:val="1"/>
    <w:next w:val="415"/>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415">
    <w:name w:val="toc 714"/>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16">
    <w:name w:val="toc 21"/>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17">
    <w:name w:val="正文 A"/>
    <w:next w:val="334"/>
    <w:autoRedefine/>
    <w:qFormat/>
    <w:uiPriority w:val="0"/>
    <w:rPr>
      <w:rFonts w:ascii="Arial" w:hAnsi="Calibri" w:eastAsia="Arial Unicode MS" w:cs="Times New Roman"/>
      <w:color w:val="000000"/>
      <w:sz w:val="21"/>
      <w:lang w:val="en-US" w:eastAsia="zh-CN" w:bidi="ar-SA"/>
    </w:rPr>
  </w:style>
  <w:style w:type="paragraph" w:customStyle="1" w:styleId="418">
    <w:name w:val="toc 68"/>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419">
    <w:name w:val="toc 58"/>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420">
    <w:name w:val="xl88"/>
    <w:basedOn w:val="1"/>
    <w:next w:val="406"/>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421">
    <w:name w:val="toc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22">
    <w:name w:val="xl100"/>
    <w:basedOn w:val="1"/>
    <w:next w:val="423"/>
    <w:autoRedefine/>
    <w:qFormat/>
    <w:uiPriority w:val="0"/>
    <w:pPr>
      <w:widowControl/>
      <w:shd w:val="clear" w:color="000000" w:fill="FFFFFF"/>
      <w:spacing w:before="280" w:after="280"/>
    </w:pPr>
    <w:rPr>
      <w:rFonts w:ascii="宋体" w:hAnsi="Calibri"/>
      <w:kern w:val="0"/>
      <w:sz w:val="20"/>
      <w:szCs w:val="20"/>
    </w:rPr>
  </w:style>
  <w:style w:type="paragraph" w:customStyle="1" w:styleId="423">
    <w:name w:val="toc 510"/>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424">
    <w:name w:val="toc 314"/>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25">
    <w:name w:val="xl114"/>
    <w:basedOn w:val="1"/>
    <w:next w:val="277"/>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426">
    <w:name w:val="xl107"/>
    <w:basedOn w:val="1"/>
    <w:next w:val="427"/>
    <w:autoRedefine/>
    <w:qFormat/>
    <w:uiPriority w:val="0"/>
    <w:pPr>
      <w:widowControl/>
      <w:shd w:val="clear" w:color="000000" w:fill="FFFFFF"/>
      <w:spacing w:before="280" w:after="280"/>
    </w:pPr>
    <w:rPr>
      <w:rFonts w:ascii="宋体" w:hAnsi="Calibri"/>
      <w:kern w:val="0"/>
      <w:sz w:val="20"/>
      <w:szCs w:val="20"/>
    </w:rPr>
  </w:style>
  <w:style w:type="paragraph" w:customStyle="1" w:styleId="427">
    <w:name w:val="toc 610"/>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428">
    <w:name w:val="toc 22"/>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29">
    <w:name w:val="xl90"/>
    <w:basedOn w:val="1"/>
    <w:next w:val="231"/>
    <w:autoRedefine/>
    <w:qFormat/>
    <w:uiPriority w:val="0"/>
    <w:pPr>
      <w:widowControl/>
      <w:shd w:val="clear" w:color="000000" w:fill="FFFFFF"/>
      <w:spacing w:before="280" w:after="280"/>
    </w:pPr>
    <w:rPr>
      <w:rFonts w:ascii="宋体" w:hAnsi="Calibri"/>
      <w:kern w:val="0"/>
      <w:sz w:val="18"/>
      <w:szCs w:val="20"/>
    </w:rPr>
  </w:style>
  <w:style w:type="paragraph" w:customStyle="1" w:styleId="430">
    <w:name w:val="toc 616"/>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431">
    <w:name w:val="toc 96"/>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32">
    <w:name w:val="toc 42"/>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433">
    <w:name w:val="xl117"/>
    <w:basedOn w:val="1"/>
    <w:next w:val="330"/>
    <w:autoRedefine/>
    <w:qFormat/>
    <w:uiPriority w:val="0"/>
    <w:pPr>
      <w:widowControl/>
      <w:shd w:val="clear" w:color="000000" w:fill="FFFFFF"/>
      <w:spacing w:before="280" w:after="280"/>
      <w:jc w:val="center"/>
    </w:pPr>
    <w:rPr>
      <w:rFonts w:ascii="Arial Narrow" w:hAnsi="Calibri"/>
      <w:kern w:val="0"/>
      <w:sz w:val="24"/>
      <w:szCs w:val="20"/>
    </w:rPr>
  </w:style>
  <w:style w:type="paragraph" w:customStyle="1" w:styleId="434">
    <w:name w:val="p15"/>
    <w:basedOn w:val="1"/>
    <w:next w:val="255"/>
    <w:autoRedefine/>
    <w:qFormat/>
    <w:uiPriority w:val="0"/>
    <w:pPr>
      <w:widowControl/>
      <w:ind w:firstLine="420"/>
    </w:pPr>
    <w:rPr>
      <w:rFonts w:hAnsi="Calibri"/>
      <w:kern w:val="0"/>
      <w:szCs w:val="20"/>
    </w:rPr>
  </w:style>
  <w:style w:type="paragraph" w:customStyle="1" w:styleId="435">
    <w:name w:val="xl87"/>
    <w:basedOn w:val="1"/>
    <w:next w:val="436"/>
    <w:autoRedefine/>
    <w:qFormat/>
    <w:uiPriority w:val="0"/>
    <w:pPr>
      <w:widowControl/>
      <w:shd w:val="clear" w:color="000000" w:fill="FFFFFF"/>
      <w:spacing w:before="280" w:after="280"/>
    </w:pPr>
    <w:rPr>
      <w:rFonts w:ascii="Arial" w:hAnsi="Calibri"/>
      <w:kern w:val="0"/>
      <w:sz w:val="18"/>
      <w:szCs w:val="20"/>
    </w:rPr>
  </w:style>
  <w:style w:type="paragraph" w:customStyle="1" w:styleId="436">
    <w:name w:val="toc 98"/>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37">
    <w:name w:val="列出段落7"/>
    <w:basedOn w:val="1"/>
    <w:next w:val="419"/>
    <w:autoRedefine/>
    <w:qFormat/>
    <w:uiPriority w:val="0"/>
    <w:pPr>
      <w:ind w:firstLine="420"/>
    </w:pPr>
    <w:rPr>
      <w:rFonts w:hAnsi="Calibri"/>
      <w:kern w:val="0"/>
      <w:szCs w:val="20"/>
    </w:rPr>
  </w:style>
  <w:style w:type="paragraph" w:customStyle="1" w:styleId="438">
    <w:name w:val="xl78"/>
    <w:basedOn w:val="1"/>
    <w:next w:val="409"/>
    <w:autoRedefine/>
    <w:qFormat/>
    <w:uiPriority w:val="0"/>
    <w:pPr>
      <w:widowControl/>
      <w:shd w:val="clear" w:color="000000" w:fill="FFFFFF"/>
      <w:spacing w:before="280" w:after="280"/>
    </w:pPr>
    <w:rPr>
      <w:rFonts w:ascii="宋体" w:hAnsi="Calibri"/>
      <w:b/>
      <w:kern w:val="0"/>
      <w:sz w:val="20"/>
      <w:szCs w:val="20"/>
    </w:rPr>
  </w:style>
  <w:style w:type="paragraph" w:customStyle="1" w:styleId="439">
    <w:name w:val="toc 516"/>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440">
    <w:name w:val="xl89"/>
    <w:basedOn w:val="1"/>
    <w:next w:val="374"/>
    <w:autoRedefine/>
    <w:qFormat/>
    <w:uiPriority w:val="0"/>
    <w:pPr>
      <w:widowControl/>
      <w:shd w:val="clear" w:color="000000" w:fill="FFFFFF"/>
      <w:spacing w:before="280" w:after="280"/>
    </w:pPr>
    <w:rPr>
      <w:rFonts w:ascii="宋体" w:hAnsi="Calibri"/>
      <w:kern w:val="0"/>
      <w:sz w:val="20"/>
      <w:szCs w:val="20"/>
    </w:rPr>
  </w:style>
  <w:style w:type="paragraph" w:customStyle="1" w:styleId="441">
    <w:name w:val="toc 910"/>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42">
    <w:name w:val="toc 34"/>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43">
    <w:name w:val="toc 816"/>
    <w:next w:val="1"/>
    <w:autoRedefine/>
    <w:qFormat/>
    <w:uiPriority w:val="0"/>
    <w:pPr>
      <w:wordWrap w:val="0"/>
      <w:ind w:left="2975"/>
      <w:jc w:val="both"/>
    </w:pPr>
    <w:rPr>
      <w:rFonts w:ascii="Calibri" w:hAnsi="Calibri" w:eastAsia="宋体" w:cs="Times New Roman"/>
      <w:sz w:val="21"/>
      <w:lang w:val="en-US" w:eastAsia="zh-CN" w:bidi="ar-SA"/>
    </w:rPr>
  </w:style>
  <w:style w:type="paragraph" w:customStyle="1" w:styleId="444">
    <w:name w:val="toc 43"/>
    <w:next w:val="1"/>
    <w:autoRedefine/>
    <w:qFormat/>
    <w:uiPriority w:val="0"/>
    <w:pPr>
      <w:wordWrap w:val="0"/>
      <w:ind w:left="1275"/>
      <w:jc w:val="both"/>
    </w:pPr>
    <w:rPr>
      <w:rFonts w:ascii="Calibri" w:hAnsi="Calibri" w:eastAsia="宋体" w:cs="Times New Roman"/>
      <w:sz w:val="21"/>
      <w:lang w:val="en-US" w:eastAsia="zh-CN" w:bidi="ar-SA"/>
    </w:rPr>
  </w:style>
  <w:style w:type="paragraph" w:customStyle="1" w:styleId="445">
    <w:name w:val="toc 16"/>
    <w:next w:val="1"/>
    <w:autoRedefine/>
    <w:qFormat/>
    <w:uiPriority w:val="0"/>
    <w:pPr>
      <w:wordWrap w:val="0"/>
      <w:jc w:val="both"/>
    </w:pPr>
    <w:rPr>
      <w:rFonts w:ascii="Calibri" w:hAnsi="Calibri" w:eastAsia="宋体" w:cs="Times New Roman"/>
      <w:sz w:val="21"/>
      <w:lang w:val="en-US" w:eastAsia="zh-CN" w:bidi="ar-SA"/>
    </w:rPr>
  </w:style>
  <w:style w:type="paragraph" w:styleId="446">
    <w:name w:val="Quote"/>
    <w:next w:val="1"/>
    <w:link w:val="447"/>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447">
    <w:name w:val="引用 Char"/>
    <w:basedOn w:val="46"/>
    <w:link w:val="446"/>
    <w:autoRedefine/>
    <w:qFormat/>
    <w:uiPriority w:val="0"/>
    <w:rPr>
      <w:rFonts w:ascii="Calibri" w:hAnsi="Calibri"/>
      <w:i/>
      <w:sz w:val="21"/>
    </w:rPr>
  </w:style>
  <w:style w:type="paragraph" w:customStyle="1" w:styleId="448">
    <w:name w:val="toc 114"/>
    <w:next w:val="1"/>
    <w:autoRedefine/>
    <w:qFormat/>
    <w:uiPriority w:val="0"/>
    <w:pPr>
      <w:wordWrap w:val="0"/>
      <w:jc w:val="both"/>
    </w:pPr>
    <w:rPr>
      <w:rFonts w:ascii="Calibri" w:hAnsi="Calibri" w:eastAsia="宋体" w:cs="Times New Roman"/>
      <w:sz w:val="21"/>
      <w:lang w:val="en-US" w:eastAsia="zh-CN" w:bidi="ar-SA"/>
    </w:rPr>
  </w:style>
  <w:style w:type="paragraph" w:customStyle="1" w:styleId="449">
    <w:name w:val="xl119"/>
    <w:basedOn w:val="1"/>
    <w:next w:val="424"/>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450">
    <w:name w:val="toc 37"/>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51">
    <w:name w:val="xl109"/>
    <w:basedOn w:val="1"/>
    <w:next w:val="397"/>
    <w:autoRedefine/>
    <w:qFormat/>
    <w:uiPriority w:val="0"/>
    <w:pPr>
      <w:widowControl/>
      <w:shd w:val="clear" w:color="000000" w:fill="FFFFFF"/>
      <w:spacing w:before="280" w:after="280"/>
    </w:pPr>
    <w:rPr>
      <w:rFonts w:ascii="宋体" w:hAnsi="Calibri"/>
      <w:kern w:val="0"/>
      <w:sz w:val="20"/>
      <w:szCs w:val="20"/>
    </w:rPr>
  </w:style>
  <w:style w:type="paragraph" w:customStyle="1" w:styleId="452">
    <w:name w:val="toc 215"/>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53">
    <w:name w:val="xl76"/>
    <w:basedOn w:val="1"/>
    <w:next w:val="405"/>
    <w:autoRedefine/>
    <w:qFormat/>
    <w:uiPriority w:val="0"/>
    <w:pPr>
      <w:widowControl/>
      <w:shd w:val="clear" w:color="000000" w:fill="FFFFFF"/>
      <w:spacing w:before="280" w:after="280"/>
      <w:jc w:val="center"/>
    </w:pPr>
    <w:rPr>
      <w:rFonts w:ascii="宋体" w:hAnsi="Calibri"/>
      <w:b/>
      <w:kern w:val="0"/>
      <w:sz w:val="20"/>
      <w:szCs w:val="20"/>
    </w:rPr>
  </w:style>
  <w:style w:type="paragraph" w:customStyle="1" w:styleId="454">
    <w:name w:val="toc 92"/>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55">
    <w:name w:val="toc 216"/>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56">
    <w:name w:val="xl70"/>
    <w:basedOn w:val="1"/>
    <w:next w:val="382"/>
    <w:autoRedefine/>
    <w:qFormat/>
    <w:uiPriority w:val="0"/>
    <w:pPr>
      <w:widowControl/>
      <w:shd w:val="clear" w:color="000000" w:fill="FFFFFF"/>
      <w:spacing w:before="280" w:after="280"/>
    </w:pPr>
    <w:rPr>
      <w:rFonts w:ascii="宋体" w:hAnsi="Calibri"/>
      <w:kern w:val="0"/>
      <w:sz w:val="20"/>
      <w:szCs w:val="20"/>
    </w:rPr>
  </w:style>
  <w:style w:type="paragraph" w:customStyle="1" w:styleId="457">
    <w:name w:val="toc 33"/>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58">
    <w:name w:val="toc 61"/>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459">
    <w:name w:val="xl98"/>
    <w:basedOn w:val="1"/>
    <w:next w:val="400"/>
    <w:autoRedefine/>
    <w:qFormat/>
    <w:uiPriority w:val="0"/>
    <w:pPr>
      <w:widowControl/>
      <w:shd w:val="clear" w:color="000000" w:fill="FFFFFF"/>
      <w:spacing w:before="280" w:after="280"/>
      <w:jc w:val="center"/>
    </w:pPr>
    <w:rPr>
      <w:rFonts w:ascii="宋体" w:hAnsi="Calibri"/>
      <w:kern w:val="0"/>
      <w:sz w:val="20"/>
      <w:szCs w:val="20"/>
    </w:rPr>
  </w:style>
  <w:style w:type="paragraph" w:customStyle="1" w:styleId="460">
    <w:name w:val="toc 26"/>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61">
    <w:name w:val="toc 13"/>
    <w:next w:val="1"/>
    <w:autoRedefine/>
    <w:qFormat/>
    <w:uiPriority w:val="0"/>
    <w:pPr>
      <w:wordWrap w:val="0"/>
      <w:jc w:val="both"/>
    </w:pPr>
    <w:rPr>
      <w:rFonts w:ascii="Calibri" w:hAnsi="Calibri" w:eastAsia="宋体" w:cs="Times New Roman"/>
      <w:sz w:val="21"/>
      <w:lang w:val="en-US" w:eastAsia="zh-CN" w:bidi="ar-SA"/>
    </w:rPr>
  </w:style>
  <w:style w:type="paragraph" w:customStyle="1" w:styleId="462">
    <w:name w:val="目录 51"/>
    <w:next w:val="1"/>
    <w:autoRedefine/>
    <w:qFormat/>
    <w:uiPriority w:val="0"/>
    <w:pPr>
      <w:wordWrap w:val="0"/>
      <w:ind w:left="1700"/>
      <w:jc w:val="both"/>
    </w:pPr>
    <w:rPr>
      <w:rFonts w:ascii="Calibri" w:hAnsi="Calibri" w:eastAsia="宋体" w:cs="Times New Roman"/>
      <w:sz w:val="21"/>
      <w:lang w:val="en-US" w:eastAsia="zh-CN" w:bidi="ar-SA"/>
    </w:rPr>
  </w:style>
  <w:style w:type="paragraph" w:customStyle="1" w:styleId="463">
    <w:name w:val="xl101"/>
    <w:basedOn w:val="1"/>
    <w:next w:val="431"/>
    <w:autoRedefine/>
    <w:qFormat/>
    <w:uiPriority w:val="0"/>
    <w:pPr>
      <w:widowControl/>
      <w:spacing w:before="280" w:after="280"/>
    </w:pPr>
    <w:rPr>
      <w:rFonts w:ascii="宋体" w:hAnsi="Calibri"/>
      <w:kern w:val="0"/>
      <w:sz w:val="20"/>
      <w:szCs w:val="20"/>
    </w:rPr>
  </w:style>
  <w:style w:type="paragraph" w:customStyle="1" w:styleId="464">
    <w:name w:val="toc 75"/>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65">
    <w:name w:val="toc 715"/>
    <w:next w:val="1"/>
    <w:autoRedefine/>
    <w:qFormat/>
    <w:uiPriority w:val="0"/>
    <w:pPr>
      <w:wordWrap w:val="0"/>
      <w:ind w:left="2550"/>
      <w:jc w:val="both"/>
    </w:pPr>
    <w:rPr>
      <w:rFonts w:ascii="Calibri" w:hAnsi="Calibri" w:eastAsia="宋体" w:cs="Times New Roman"/>
      <w:sz w:val="21"/>
      <w:lang w:val="en-US" w:eastAsia="zh-CN" w:bidi="ar-SA"/>
    </w:rPr>
  </w:style>
  <w:style w:type="paragraph" w:styleId="466">
    <w:name w:val="Intense Quote"/>
    <w:next w:val="1"/>
    <w:link w:val="467"/>
    <w:autoRedefine/>
    <w:qFormat/>
    <w:uiPriority w:val="0"/>
    <w:pPr>
      <w:wordWrap w:val="0"/>
      <w:spacing w:before="360" w:after="360"/>
      <w:ind w:left="950" w:right="950"/>
      <w:jc w:val="center"/>
    </w:pPr>
    <w:rPr>
      <w:rFonts w:ascii="Calibri" w:hAnsi="Calibri" w:eastAsia="宋体" w:cs="Times New Roman"/>
      <w:i/>
      <w:sz w:val="21"/>
      <w:lang w:val="en-US" w:eastAsia="zh-CN" w:bidi="ar-SA"/>
    </w:rPr>
  </w:style>
  <w:style w:type="character" w:customStyle="1" w:styleId="467">
    <w:name w:val="明显引用 Char"/>
    <w:basedOn w:val="46"/>
    <w:link w:val="466"/>
    <w:autoRedefine/>
    <w:qFormat/>
    <w:uiPriority w:val="0"/>
    <w:rPr>
      <w:rFonts w:ascii="Calibri" w:hAnsi="Calibri"/>
      <w:i/>
      <w:sz w:val="21"/>
    </w:rPr>
  </w:style>
  <w:style w:type="paragraph" w:customStyle="1" w:styleId="468">
    <w:name w:val="Char Char Char Char Char Char Char"/>
    <w:basedOn w:val="1"/>
    <w:next w:val="452"/>
    <w:autoRedefine/>
    <w:qFormat/>
    <w:uiPriority w:val="0"/>
    <w:pPr>
      <w:widowControl/>
      <w:spacing w:after="160" w:line="240" w:lineRule="exact"/>
    </w:pPr>
    <w:rPr>
      <w:rFonts w:hAnsi="Calibri"/>
      <w:kern w:val="0"/>
      <w:szCs w:val="20"/>
    </w:rPr>
  </w:style>
  <w:style w:type="paragraph" w:customStyle="1" w:styleId="469">
    <w:name w:val="toc 23"/>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470">
    <w:name w:val="目录 61"/>
    <w:next w:val="1"/>
    <w:autoRedefine/>
    <w:qFormat/>
    <w:uiPriority w:val="0"/>
    <w:pPr>
      <w:wordWrap w:val="0"/>
      <w:ind w:left="2125"/>
      <w:jc w:val="both"/>
    </w:pPr>
    <w:rPr>
      <w:rFonts w:ascii="Calibri" w:hAnsi="Calibri" w:eastAsia="宋体" w:cs="Times New Roman"/>
      <w:sz w:val="21"/>
      <w:lang w:val="en-US" w:eastAsia="zh-CN" w:bidi="ar-SA"/>
    </w:rPr>
  </w:style>
  <w:style w:type="paragraph" w:customStyle="1" w:styleId="471">
    <w:name w:val="toc 97"/>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72">
    <w:name w:val="toc 74"/>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73">
    <w:name w:val="xl64"/>
    <w:basedOn w:val="1"/>
    <w:next w:val="448"/>
    <w:autoRedefine/>
    <w:qFormat/>
    <w:uiPriority w:val="0"/>
    <w:pPr>
      <w:widowControl/>
      <w:shd w:val="clear" w:color="000000" w:fill="FFFFFF"/>
      <w:spacing w:before="280" w:after="280"/>
    </w:pPr>
    <w:rPr>
      <w:rFonts w:ascii="宋体" w:hAnsi="Calibri"/>
      <w:kern w:val="0"/>
      <w:sz w:val="20"/>
      <w:szCs w:val="20"/>
    </w:rPr>
  </w:style>
  <w:style w:type="paragraph" w:customStyle="1" w:styleId="474">
    <w:name w:val="xl82"/>
    <w:basedOn w:val="1"/>
    <w:next w:val="293"/>
    <w:autoRedefine/>
    <w:qFormat/>
    <w:uiPriority w:val="0"/>
    <w:pPr>
      <w:widowControl/>
      <w:shd w:val="clear" w:color="000000" w:fill="FFFFFF"/>
      <w:spacing w:before="280" w:after="280"/>
    </w:pPr>
    <w:rPr>
      <w:rFonts w:ascii="宋体" w:hAnsi="Calibri"/>
      <w:kern w:val="0"/>
      <w:sz w:val="20"/>
      <w:szCs w:val="20"/>
    </w:rPr>
  </w:style>
  <w:style w:type="paragraph" w:customStyle="1" w:styleId="475">
    <w:name w:val="toc 32"/>
    <w:next w:val="1"/>
    <w:autoRedefine/>
    <w:qFormat/>
    <w:uiPriority w:val="0"/>
    <w:pPr>
      <w:wordWrap w:val="0"/>
      <w:ind w:left="850"/>
      <w:jc w:val="both"/>
    </w:pPr>
    <w:rPr>
      <w:rFonts w:ascii="Calibri" w:hAnsi="Calibri" w:eastAsia="宋体" w:cs="Times New Roman"/>
      <w:sz w:val="21"/>
      <w:lang w:val="en-US" w:eastAsia="zh-CN" w:bidi="ar-SA"/>
    </w:rPr>
  </w:style>
  <w:style w:type="paragraph" w:customStyle="1" w:styleId="476">
    <w:name w:val="xl77"/>
    <w:basedOn w:val="1"/>
    <w:next w:val="441"/>
    <w:autoRedefine/>
    <w:qFormat/>
    <w:uiPriority w:val="0"/>
    <w:pPr>
      <w:widowControl/>
      <w:shd w:val="clear" w:color="000000" w:fill="FFFFFF"/>
      <w:spacing w:before="280" w:after="280"/>
      <w:jc w:val="center"/>
    </w:pPr>
    <w:rPr>
      <w:rFonts w:ascii="宋体" w:hAnsi="Calibri"/>
      <w:kern w:val="0"/>
      <w:sz w:val="20"/>
      <w:szCs w:val="20"/>
    </w:rPr>
  </w:style>
  <w:style w:type="character" w:customStyle="1" w:styleId="477">
    <w:name w:val="正文缩进 Char1"/>
    <w:autoRedefine/>
    <w:qFormat/>
    <w:uiPriority w:val="0"/>
    <w:rPr>
      <w:rFonts w:eastAsia="宋体"/>
      <w:kern w:val="2"/>
      <w:sz w:val="21"/>
      <w:lang w:val="en-US" w:eastAsia="zh-CN" w:bidi="ar-SA"/>
    </w:rPr>
  </w:style>
  <w:style w:type="character" w:customStyle="1" w:styleId="478">
    <w:name w:val="fielderror"/>
    <w:basedOn w:val="46"/>
    <w:autoRedefine/>
    <w:qFormat/>
    <w:uiPriority w:val="0"/>
    <w:rPr>
      <w:color w:val="800000"/>
    </w:rPr>
  </w:style>
  <w:style w:type="character" w:customStyle="1" w:styleId="479">
    <w:name w:val="hilite6"/>
    <w:basedOn w:val="46"/>
    <w:autoRedefine/>
    <w:qFormat/>
    <w:uiPriority w:val="0"/>
    <w:rPr>
      <w:color w:val="000000"/>
    </w:rPr>
  </w:style>
  <w:style w:type="character" w:customStyle="1" w:styleId="480">
    <w:name w:val="active6"/>
    <w:basedOn w:val="46"/>
    <w:autoRedefine/>
    <w:qFormat/>
    <w:uiPriority w:val="0"/>
    <w:rPr>
      <w:color w:val="FFFFFF"/>
    </w:rPr>
  </w:style>
  <w:style w:type="character" w:customStyle="1" w:styleId="481">
    <w:name w:val="inline-help"/>
    <w:basedOn w:val="46"/>
    <w:autoRedefine/>
    <w:qFormat/>
    <w:uiPriority w:val="0"/>
  </w:style>
  <w:style w:type="character" w:customStyle="1" w:styleId="482">
    <w:name w:val="active"/>
    <w:basedOn w:val="46"/>
    <w:autoRedefine/>
    <w:qFormat/>
    <w:uiPriority w:val="0"/>
    <w:rPr>
      <w:color w:val="FFFFFF"/>
    </w:rPr>
  </w:style>
  <w:style w:type="character" w:customStyle="1" w:styleId="483">
    <w:name w:val="未处理的提及1"/>
    <w:basedOn w:val="46"/>
    <w:autoRedefine/>
    <w:semiHidden/>
    <w:unhideWhenUsed/>
    <w:qFormat/>
    <w:uiPriority w:val="99"/>
    <w:rPr>
      <w:color w:val="605E5C"/>
      <w:shd w:val="clear" w:color="auto" w:fill="E1DFDD"/>
    </w:rPr>
  </w:style>
  <w:style w:type="paragraph" w:customStyle="1" w:styleId="484">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85">
    <w:name w:val="hover1"/>
    <w:basedOn w:val="46"/>
    <w:autoRedefine/>
    <w:qFormat/>
    <w:uiPriority w:val="0"/>
    <w:rPr>
      <w:color w:val="2590EB"/>
      <w:shd w:val="clear" w:fill="E9F4FD"/>
    </w:rPr>
  </w:style>
  <w:style w:type="character" w:customStyle="1" w:styleId="486">
    <w:name w:val="hover2"/>
    <w:basedOn w:val="46"/>
    <w:autoRedefine/>
    <w:qFormat/>
    <w:uiPriority w:val="0"/>
    <w:rPr>
      <w:color w:val="2590EB"/>
    </w:rPr>
  </w:style>
  <w:style w:type="character" w:customStyle="1" w:styleId="487">
    <w:name w:val="hover3"/>
    <w:basedOn w:val="46"/>
    <w:autoRedefine/>
    <w:qFormat/>
    <w:uiPriority w:val="0"/>
    <w:rPr>
      <w:color w:val="2590EB"/>
    </w:rPr>
  </w:style>
  <w:style w:type="character" w:customStyle="1" w:styleId="488">
    <w:name w:val="hover4"/>
    <w:basedOn w:val="46"/>
    <w:autoRedefine/>
    <w:qFormat/>
    <w:uiPriority w:val="0"/>
  </w:style>
  <w:style w:type="character" w:customStyle="1" w:styleId="489">
    <w:name w:val="hover"/>
    <w:basedOn w:val="46"/>
    <w:autoRedefine/>
    <w:qFormat/>
    <w:uiPriority w:val="0"/>
    <w:rPr>
      <w:color w:val="2590EB"/>
    </w:rPr>
  </w:style>
  <w:style w:type="character" w:customStyle="1" w:styleId="490">
    <w:name w:val="font51"/>
    <w:autoRedefine/>
    <w:qFormat/>
    <w:uiPriority w:val="0"/>
    <w:rPr>
      <w:rFonts w:hint="default" w:ascii="仿宋_GB2312" w:eastAsia="仿宋_GB2312" w:cs="仿宋_GB2312"/>
      <w:b/>
      <w:bCs/>
      <w:color w:val="000000"/>
      <w:sz w:val="24"/>
      <w:szCs w:val="24"/>
      <w:u w:val="none"/>
    </w:rPr>
  </w:style>
  <w:style w:type="character" w:customStyle="1" w:styleId="491">
    <w:name w:val="cf01"/>
    <w:basedOn w:val="46"/>
    <w:autoRedefine/>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A53E-AC56-46B4-B750-32709A7C0D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7361</Words>
  <Characters>41964</Characters>
  <Lines>349</Lines>
  <Paragraphs>98</Paragraphs>
  <TotalTime>1</TotalTime>
  <ScaleCrop>false</ScaleCrop>
  <LinksUpToDate>false</LinksUpToDate>
  <CharactersWithSpaces>49227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2022-04-25T08:36:00Z</dcterms:created>
  <dc:creator>thsware</dc:creator>
  <cp:lastModifiedBy>生</cp:lastModifiedBy>
  <cp:lastPrinted>2021-05-16T11:04:00Z</cp:lastPrinted>
  <dcterms:modified xsi:type="dcterms:W3CDTF">2024-03-22T10:28:08Z</dcterms:modified>
  <dc:title>招  标　文　件</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A01FBA610D2F47C389434DE15931D5BE_13</vt:lpwstr>
  </property>
</Properties>
</file>