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color w:val="000000" w:themeColor="text1"/>
          <w14:textFill>
            <w14:solidFill>
              <w14:schemeClr w14:val="tx1"/>
            </w14:solidFill>
          </w14:textFill>
        </w:rPr>
      </w:pPr>
    </w:p>
    <w:tbl>
      <w:tblPr>
        <w:tblStyle w:val="8"/>
        <w:tblW w:w="8222"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562"/>
        <w:gridCol w:w="856"/>
        <w:gridCol w:w="425"/>
        <w:gridCol w:w="1134"/>
        <w:gridCol w:w="52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9" w:hRule="atLeast"/>
        </w:trPr>
        <w:tc>
          <w:tcPr>
            <w:tcW w:w="562" w:type="dxa"/>
          </w:tcPr>
          <w:p>
            <w:pPr>
              <w:spacing w:after="0" w:line="240" w:lineRule="auto"/>
              <w:rPr>
                <w:color w:val="000000" w:themeColor="text1"/>
                <w14:textFill>
                  <w14:solidFill>
                    <w14:schemeClr w14:val="tx1"/>
                  </w14:solidFill>
                </w14:textFill>
              </w:rPr>
            </w:pPr>
            <w:r>
              <w:rPr>
                <w:rFonts w:ascii="Times New Roman" w:eastAsia="华文仿宋"/>
                <w:color w:val="000000" w:themeColor="text1"/>
                <w:sz w:val="32"/>
                <w14:textFill>
                  <w14:solidFill>
                    <w14:schemeClr w14:val="tx1"/>
                  </w14:solidFill>
                </w14:textFill>
              </w:rPr>
              <w:t>4</w:t>
            </w:r>
          </w:p>
        </w:tc>
        <w:tc>
          <w:tcPr>
            <w:tcW w:w="1281" w:type="dxa"/>
            <w:gridSpan w:val="2"/>
          </w:tcPr>
          <w:p>
            <w:pPr>
              <w:spacing w:after="0" w:line="240" w:lineRule="auto"/>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、提案第</w:t>
            </w:r>
          </w:p>
        </w:tc>
        <w:tc>
          <w:tcPr>
            <w:tcW w:w="1134" w:type="dxa"/>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20240085</w:t>
            </w:r>
          </w:p>
        </w:tc>
        <w:tc>
          <w:tcPr>
            <w:tcW w:w="5245" w:type="dxa"/>
          </w:tcPr>
          <w:p>
            <w:pPr>
              <w:spacing w:after="0" w:line="240" w:lineRule="auto"/>
              <w:rPr>
                <w:color w:val="000000" w:themeColor="text1"/>
                <w14:textFill>
                  <w14:solidFill>
                    <w14:schemeClr w14:val="tx1"/>
                  </w14:solidFill>
                </w14:textFill>
              </w:rPr>
            </w:pPr>
            <w:r>
              <w:rPr>
                <w:rFonts w:hint="eastAsia" w:ascii="Times New Roman" w:eastAsia="华文仿宋"/>
                <w:color w:val="000000" w:themeColor="text1"/>
                <w:sz w:val="32"/>
                <w14:textFill>
                  <w14:solidFill>
                    <w14:schemeClr w14:val="tx1"/>
                  </w14:solidFill>
                </w14:textFill>
              </w:rPr>
              <w:t>号</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41" w:hRule="atLeast"/>
        </w:trPr>
        <w:tc>
          <w:tcPr>
            <w:tcW w:w="1418" w:type="dxa"/>
            <w:gridSpan w:val="2"/>
          </w:tcPr>
          <w:p>
            <w:pPr>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标    题：</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关于用好深圳湾口岸优势和资源，加快南山区与香港协同联动融合发展的建议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66" w:hRule="atLeast"/>
        </w:trPr>
        <w:tc>
          <w:tcPr>
            <w:tcW w:w="1418" w:type="dxa"/>
            <w:gridSpan w:val="2"/>
          </w:tcPr>
          <w:p>
            <w:pPr>
              <w:tabs>
                <w:tab w:val="left" w:pos="810"/>
              </w:tabs>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提 出 人：</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张宗平</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21" w:hRule="atLeast"/>
        </w:trPr>
        <w:tc>
          <w:tcPr>
            <w:tcW w:w="1418" w:type="dxa"/>
            <w:gridSpan w:val="2"/>
          </w:tcPr>
          <w:p>
            <w:pPr>
              <w:spacing w:after="0" w:line="240" w:lineRule="auto"/>
              <w:rPr>
                <w:color w:val="000000" w:themeColor="text1"/>
                <w14:textFill>
                  <w14:solidFill>
                    <w14:schemeClr w14:val="tx1"/>
                  </w14:solidFill>
                </w14:textFill>
              </w:rPr>
            </w:pPr>
            <w:r>
              <w:rPr>
                <w:rFonts w:hint="eastAsia" w:ascii="黑体" w:eastAsia="黑体"/>
                <w:color w:val="000000" w:themeColor="text1"/>
                <w:sz w:val="28"/>
                <w14:textFill>
                  <w14:solidFill>
                    <w14:schemeClr w14:val="tx1"/>
                  </w14:solidFill>
                </w14:textFill>
              </w:rPr>
              <w:t>办理类型：</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主办会办</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spacing w:after="0" w:line="240" w:lineRule="auto"/>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主办单位：</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市政府口岸办公室</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675" w:hRule="atLeast"/>
        </w:trPr>
        <w:tc>
          <w:tcPr>
            <w:tcW w:w="1418" w:type="dxa"/>
            <w:gridSpan w:val="2"/>
          </w:tcPr>
          <w:p>
            <w:pPr>
              <w:spacing w:after="0" w:line="240" w:lineRule="auto"/>
              <w:ind w:left="1400" w:hanging="1400" w:hangingChars="500"/>
              <w:rPr>
                <w:rFonts w:ascii="Times New Roman" w:eastAsia="华文仿宋"/>
                <w:color w:val="000000" w:themeColor="text1"/>
                <w:sz w:val="28"/>
                <w14:textFill>
                  <w14:solidFill>
                    <w14:schemeClr w14:val="tx1"/>
                  </w14:solidFill>
                </w14:textFill>
              </w:rPr>
            </w:pPr>
            <w:r>
              <w:rPr>
                <w:rFonts w:hint="eastAsia" w:ascii="黑体" w:eastAsia="黑体"/>
                <w:color w:val="000000" w:themeColor="text1"/>
                <w:sz w:val="28"/>
                <w14:textFill>
                  <w14:solidFill>
                    <w14:schemeClr w14:val="tx1"/>
                  </w14:solidFill>
                </w14:textFill>
              </w:rPr>
              <w:t>会办单位：</w:t>
            </w:r>
          </w:p>
        </w:tc>
        <w:tc>
          <w:tcPr>
            <w:tcW w:w="6804" w:type="dxa"/>
            <w:gridSpan w:val="3"/>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市交通运输局,市发展和改革委员会,市规划和自然资源局,深圳海关,深圳边检</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73" w:hRule="atLeast"/>
        </w:trPr>
        <w:tc>
          <w:tcPr>
            <w:tcW w:w="8222" w:type="dxa"/>
            <w:gridSpan w:val="5"/>
          </w:tcPr>
          <w:p>
            <w:pPr>
              <w:spacing w:after="0" w:line="240" w:lineRule="auto"/>
              <w:rPr>
                <w:rFonts w:ascii="华文仿宋" w:hAnsi="华文仿宋" w:eastAsia="华文仿宋"/>
                <w:color w:val="000000" w:themeColor="text1"/>
                <w:sz w:val="28"/>
                <w:szCs w:val="28"/>
                <w14:textFill>
                  <w14:solidFill>
                    <w14:schemeClr w14:val="tx1"/>
                  </w14:solidFill>
                </w14:textFill>
              </w:rPr>
            </w:pPr>
            <w:r>
              <w:rPr>
                <w:rFonts w:hint="eastAsia" w:ascii="黑体" w:eastAsia="黑体"/>
                <w:color w:val="000000" w:themeColor="text1"/>
                <w:sz w:val="28"/>
                <w14:textFill>
                  <w14:solidFill>
                    <w14:schemeClr w14:val="tx1"/>
                  </w14:solidFill>
                </w14:textFill>
              </w:rPr>
              <w:t>案由及需要说明的情况：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spacing w:after="0" w:line="240" w:lineRule="auto"/>
              <w:rPr>
                <w:rFonts w:asciiTheme="minorEastAsia" w:hAnsiTheme="minorEastAsia"/>
                <w:color w:val="000000" w:themeColor="text1"/>
                <w:sz w:val="24"/>
                <w:szCs w:val="24"/>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2023年4月习近平总书记在视察广东时殷殷嘱托：“使粤港澳大湾区成为新发展格局的战略支点、高质量发展的示范地、中国式现代化的引领地”。南山区作为深圳最具产业优势的行政区，我市应紧扣“中央要求、湾区所向、港澳所需、深圳所能”，全力支持南山区发挥南山产业桥头堡的作用，加快推进南山与香港协同联动融合发展，进一步提升南山区对港的“硬联通、软联通、心联通”水平。深圳湾口岸作为南山区唯一链接香港的陆上大动脉，随着2023年初深港两地恢复常态化通关以来，口岸客流量、车流量剧增，相关问题开始显现，表现在：</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一、通关效率低。作为亚洲最大的客货综合性公路口岸，深圳湾口岸客流量和车流量巨大，尤其是在节假日和周末，通关效率相对较低，导致旅客等待时间过长。深圳湾口岸作为两地旅行团选择最多的通关口岸之一，沒有针对旅行团体和普通旅客进行分流疏导，导致一般旅客通关时间增加。</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二、口岸交通拥堵。深圳湾口岸交通建设尚未完工，缺少公共交通的辅助，存在路面公共交通接驳秩序混乱。随着通关复常，社会车辆、跨境车辆、出租车和营运车辆等各类车辆进一步增加周边道路交通的压力，造成口岸周边交通拥塞，特别是在节假日及早晚高峰期时段，严重影响口岸接驳通行效率，这不仅给旅客带来不便，还影响了口岸整体形象。</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三、配套设施不健全。深圳湾口岸缺乏免税店、餐厅、小型商超、药店、银行网点、电信运行商网点等便民配套，相关硬件配套设施未能跟上实际需求，特别是香港同胞过关后步行至公共交通接驳区域的通道，只有临时围栏的露天道路，没有为旅客提供遮阴挡雨连廊，严重影响了深圳湾口岸的整体服务水平，更给每日往返通勤人士带来了诸多不便。</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507" w:hRule="atLeast"/>
        </w:trPr>
        <w:tc>
          <w:tcPr>
            <w:tcW w:w="8222" w:type="dxa"/>
            <w:gridSpan w:val="5"/>
          </w:tcPr>
          <w:p>
            <w:pPr>
              <w:spacing w:after="0" w:line="240" w:lineRule="auto"/>
              <w:rPr>
                <w:rFonts w:ascii="等线" w:hAnsi="等线" w:eastAsia="等线" w:cs="等线"/>
                <w:color w:val="000000"/>
              </w:rPr>
            </w:pPr>
            <w:r>
              <w:rPr>
                <w:rFonts w:hint="eastAsia" w:ascii="黑体" w:eastAsia="黑体"/>
                <w:color w:val="000000" w:themeColor="text1"/>
                <w:sz w:val="28"/>
                <w14:textFill>
                  <w14:solidFill>
                    <w14:schemeClr w14:val="tx1"/>
                  </w14:solidFill>
                </w14:textFill>
              </w:rPr>
              <w:t>意见建议：</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882" w:hRule="atLeast"/>
        </w:trPr>
        <w:tc>
          <w:tcPr>
            <w:tcW w:w="8222" w:type="dxa"/>
            <w:gridSpan w:val="5"/>
          </w:tcPr>
          <w:p>
            <w:pPr>
              <w:spacing w:after="0" w:line="240" w:lineRule="auto"/>
              <w:rPr>
                <w:rFonts w:ascii="等线" w:hAnsi="等线" w:eastAsia="等线"/>
                <w:color w:val="000000" w:themeColor="text1"/>
                <w:szCs w:val="21"/>
                <w14:textFill>
                  <w14:solidFill>
                    <w14:schemeClr w14:val="tx1"/>
                  </w14:solidFill>
                </w14:textFill>
              </w:rPr>
            </w:pPr>
            <w:r>
              <w:rPr>
                <w:rFonts w:ascii="华文仿宋" w:hAnsi="华文仿宋" w:eastAsia="华文仿宋"/>
                <w:color w:val="000000" w:themeColor="text1"/>
                <w:sz w:val="28"/>
                <w:szCs w:val="28"/>
                <w14:textFill>
                  <w14:solidFill>
                    <w14:schemeClr w14:val="tx1"/>
                  </w14:solidFill>
                </w14:textFill>
              </w:rPr>
              <w:t xml:space="preserve">    建议一、把深圳湾口岸升级成为24小时通关口岸，实施“合作查检、一次放行”的“一站式”通关便利化措施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延长通关时间，既可缓解口岸的通关压力，还可吸引更多香港居民特别是商务人士优先选择深圳湾口岸早晚通勤，同时还能吸引香港居民考虑到深圳机场出行旅游，从而提高深圳机场国际化和承载率。从长远看，还有助于推动南山区枢纽城区建设，吸引更多旅客选择深圳湾口岸通行。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建议二、优化深圳湾口岸交通接驳，包括不限于增加地面公交、延长口岸接驳巴士运营时间、建设口岸地铁交通枢纽等措施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结合深圳地铁13号线的建设，进一步优化深圳湾口岸的交通接驳，改善路面公交场站、出租车站、社会车辆停车场、口岸周边区域交通线路，建设立体化的综合交通接驳体系，丰富接驳巴士路线类型，如南山“食买玩”路线、同根同源文旅路线、科技创新路线、美好自然路线等，多元化吸引港人选择南山。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建议三、加快推进港深西部铁路（前海-洪水桥）落地建设，争取广深第二高铁从机场经西丽站过深圳湾口岸延长至洪水桥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西部铁路对发挥香港航运枢纽、建设深圳国际航空港、促进前海深港高端服务业及制造业的合作意义重大。深圳湾口岸通关实行一地一检，该条线路即可做到直达香港，对繁荣南山、前海和珠三角（穗莞深城际）一小时生活圈作用巨大。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建议四、推动在深圳湾口岸合作区建设“口岸智谷”创科总部、布局创科载体，完善商业配套，加速两地创科融合创新
</w:t>
            </w:r>
            <w:r>
              <w:rPr>
                <w:rFonts w:ascii="华文仿宋" w:hAnsi="华文仿宋" w:eastAsia="华文仿宋"/>
                <w:color w:val="000000" w:themeColor="text1"/>
                <w:sz w:val="28"/>
                <w:szCs w:val="28"/>
                <w14:textFill>
                  <w14:solidFill>
                    <w14:schemeClr w14:val="tx1"/>
                  </w14:solidFill>
                </w14:textFill>
              </w:rPr>
              <w:br w:type="textWrapping"/>
            </w:r>
            <w:r>
              <w:rPr>
                <w:rFonts w:ascii="华文仿宋" w:hAnsi="华文仿宋" w:eastAsia="华文仿宋"/>
                <w:color w:val="000000" w:themeColor="text1"/>
                <w:sz w:val="28"/>
                <w:szCs w:val="28"/>
                <w14:textFill>
                  <w14:solidFill>
                    <w14:schemeClr w14:val="tx1"/>
                  </w14:solidFill>
                </w14:textFill>
              </w:rPr>
              <w:t xml:space="preserve">    补充说明：深圳湾口岸毗邻深圳湾后海总部基地，坐拥深圳湾开阔海域和占地77万平方米的深圳人才公园，以及长达15公里的深圳湾海滨长廊、红树林湿地公园等，这为深圳湾口岸提供了得天独厚的自然和人文资源。借助这种地理和自然资源优势，有必要将深圳湾口岸发展成为国际化复合型口岸。规划部门厚植深圳湾口岸的资源优势、扩大口岸影响，致力于打造深圳湾口岸空间统筹、结构优化、错位协同的口岸经济带，加快推动深港联运商业经济、科研科创、就业创业综合体协同发展。
</w:t>
            </w:r>
            <w:bookmarkStart w:id="0" w:name="_GoBack"/>
            <w:bookmarkEnd w:id="0"/>
          </w:p>
        </w:tc>
      </w:tr>
    </w:tbl>
    <w:p>
      <w:pPr>
        <w:tabs>
          <w:tab w:val="left" w:pos="729"/>
        </w:tabs>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仿宋">
    <w:altName w:val="仿宋"/>
    <w:panose1 w:val="02010600040101010101"/>
    <w:charset w:val="86"/>
    <w:family w:val="auto"/>
    <w:pitch w:val="default"/>
    <w:sig w:usb0="00000000" w:usb1="00000000" w:usb2="00000010" w:usb3="00000000" w:csb0="0004009F" w:csb1="00000000"/>
  </w:font>
  <w:font w:name="仿宋">
    <w:panose1 w:val="02010609060101010101"/>
    <w:charset w:val="86"/>
    <w:family w:val="auto"/>
    <w:pitch w:val="default"/>
    <w:sig w:usb0="800002BF" w:usb1="38CF7CFA" w:usb2="00000016" w:usb3="00000000" w:csb0="00040001" w:csb1="00000000"/>
  </w:font>
  <w:font w:name="等线">
    <w:panose1 w:val="02010600030101010101"/>
    <w:charset w:val="86"/>
    <w:family w:val="auto"/>
    <w:pitch w:val="default"/>
    <w:sig w:usb0="A00002BF" w:usb1="38CF7CFA" w:usb2="00000016" w:usb3="00000000" w:csb0="0004000F" w:csb1="00000000"/>
  </w:font>
  <w:font w:name="仿宋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9863567"/>
    </w:sdtPr>
    <w:sdtContent>
      <w:p>
        <w:pPr>
          <w:pStyle w:val="4"/>
          <w:jc w:val="right"/>
        </w:pPr>
        <w:r>
          <w:fldChar w:fldCharType="begin"/>
        </w:r>
        <w:r>
          <w:instrText xml:space="preserve">PAGE   \* MERGEFORMAT</w:instrText>
        </w:r>
        <w:r>
          <w:fldChar w:fldCharType="separate"/>
        </w:r>
        <w:r>
          <w:rPr>
            <w:lang w:val="zh-CN"/>
          </w:rPr>
          <w:t>1</w:t>
        </w:r>
        <w:r>
          <w:fldChar w:fldCharType="end"/>
        </w:r>
      </w:p>
    </w:sdtContent>
  </w:sdt>
  <w:p>
    <w:pPr>
      <w:pStyle w:val="4"/>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D41E6"/>
    <w:rsid w:val="00042432"/>
    <w:rsid w:val="000D41E6"/>
    <w:rsid w:val="001114EC"/>
    <w:rsid w:val="00147BCA"/>
    <w:rsid w:val="00166A4D"/>
    <w:rsid w:val="001A0FF8"/>
    <w:rsid w:val="001C3C90"/>
    <w:rsid w:val="002031D5"/>
    <w:rsid w:val="00227F39"/>
    <w:rsid w:val="00236E41"/>
    <w:rsid w:val="00260F67"/>
    <w:rsid w:val="002914C5"/>
    <w:rsid w:val="002C0D47"/>
    <w:rsid w:val="00310FF0"/>
    <w:rsid w:val="00334546"/>
    <w:rsid w:val="003911DC"/>
    <w:rsid w:val="003A2443"/>
    <w:rsid w:val="003D7F99"/>
    <w:rsid w:val="0044291E"/>
    <w:rsid w:val="004C0288"/>
    <w:rsid w:val="004C293B"/>
    <w:rsid w:val="004C7B0D"/>
    <w:rsid w:val="004E154D"/>
    <w:rsid w:val="004E6A0C"/>
    <w:rsid w:val="004F68A2"/>
    <w:rsid w:val="005B6100"/>
    <w:rsid w:val="00602884"/>
    <w:rsid w:val="00673758"/>
    <w:rsid w:val="006A7092"/>
    <w:rsid w:val="00732C1E"/>
    <w:rsid w:val="00793158"/>
    <w:rsid w:val="00797A98"/>
    <w:rsid w:val="007E338C"/>
    <w:rsid w:val="008144F1"/>
    <w:rsid w:val="0083551E"/>
    <w:rsid w:val="008D308A"/>
    <w:rsid w:val="008E4222"/>
    <w:rsid w:val="008F421A"/>
    <w:rsid w:val="0092585E"/>
    <w:rsid w:val="00935CC5"/>
    <w:rsid w:val="00941347"/>
    <w:rsid w:val="00967712"/>
    <w:rsid w:val="00994498"/>
    <w:rsid w:val="009C485E"/>
    <w:rsid w:val="009E2147"/>
    <w:rsid w:val="00A34BBB"/>
    <w:rsid w:val="00A82B87"/>
    <w:rsid w:val="00A9009C"/>
    <w:rsid w:val="00AD0C0A"/>
    <w:rsid w:val="00AD26F5"/>
    <w:rsid w:val="00AD367B"/>
    <w:rsid w:val="00B21855"/>
    <w:rsid w:val="00B27728"/>
    <w:rsid w:val="00B30441"/>
    <w:rsid w:val="00B447A8"/>
    <w:rsid w:val="00B61CC8"/>
    <w:rsid w:val="00B6488E"/>
    <w:rsid w:val="00BA05D7"/>
    <w:rsid w:val="00BA78B0"/>
    <w:rsid w:val="00C249E2"/>
    <w:rsid w:val="00C542F7"/>
    <w:rsid w:val="00C6715C"/>
    <w:rsid w:val="00C74D4D"/>
    <w:rsid w:val="00CB7179"/>
    <w:rsid w:val="00D30A2D"/>
    <w:rsid w:val="00D604D5"/>
    <w:rsid w:val="00D82E5F"/>
    <w:rsid w:val="00D922D5"/>
    <w:rsid w:val="00DB7E1D"/>
    <w:rsid w:val="00E63E06"/>
    <w:rsid w:val="00F0289C"/>
    <w:rsid w:val="00F336A0"/>
    <w:rsid w:val="00F50B82"/>
    <w:rsid w:val="00F87CE5"/>
    <w:rsid w:val="00FE6055"/>
    <w:rsid w:val="134F76DA"/>
    <w:rsid w:val="13F803AD"/>
    <w:rsid w:val="169D5372"/>
    <w:rsid w:val="2192492D"/>
    <w:rsid w:val="2E59180F"/>
    <w:rsid w:val="373B464F"/>
    <w:rsid w:val="3F5E17DA"/>
    <w:rsid w:val="44360900"/>
    <w:rsid w:val="514C5B9B"/>
    <w:rsid w:val="54992EC7"/>
    <w:rsid w:val="58FB2054"/>
    <w:rsid w:val="5EA62400"/>
    <w:rsid w:val="6ADA0666"/>
    <w:rsid w:val="6CE56E5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qFormat="1"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4"/>
    <w:semiHidden/>
    <w:unhideWhenUsed/>
    <w:qFormat/>
    <w:uiPriority w:val="99"/>
    <w:pPr>
      <w:jc w:val="left"/>
    </w:pPr>
  </w:style>
  <w:style w:type="paragraph" w:styleId="3">
    <w:name w:val="Balloon Text"/>
    <w:basedOn w:val="1"/>
    <w:link w:val="16"/>
    <w:semiHidden/>
    <w:unhideWhenUsed/>
    <w:qFormat/>
    <w:uiPriority w:val="99"/>
    <w:rPr>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5"/>
    <w:semiHidden/>
    <w:unhideWhenUsed/>
    <w:qFormat/>
    <w:uiPriority w:val="99"/>
    <w:rPr>
      <w:b/>
      <w:bCs/>
    </w:rPr>
  </w:style>
  <w:style w:type="table" w:styleId="8">
    <w:name w:val="Table Grid"/>
    <w:basedOn w:val="7"/>
    <w:qFormat/>
    <w:uiPriority w:val="59"/>
    <w:pPr>
      <w:spacing w:after="0" w:line="240" w:lineRule="auto"/>
    </w:pPr>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9">
    <w:name w:val="Light Shading Accent 2"/>
    <w:qFormat/>
    <w:uiPriority w:val="60"/>
    <w:rPr>
      <w:color w:val="C55A11" w:themeColor="accent2" w:themeShade="BF"/>
    </w:rPr>
    <w:tblPr>
      <w:tblBorders>
        <w:top w:val="single" w:color="ED7D31" w:themeColor="accent2" w:sz="8" w:space="0"/>
        <w:bottom w:val="single" w:color="ED7D31" w:themeColor="accent2"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lastRow">
      <w:pPr>
        <w:spacing w:before="0" w:after="0" w:line="240" w:lineRule="auto"/>
      </w:pPr>
      <w:rPr>
        <w:b/>
        <w:bCs/>
      </w:rPr>
      <w:tblPr/>
      <w:tcPr>
        <w:tcBorders>
          <w:top w:val="single" w:color="ED7D31" w:themeColor="accent2" w:sz="8" w:space="0"/>
          <w:left w:val="nil"/>
          <w:bottom w:val="single" w:color="ED7D31" w:themeColor="accent2"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C" w:themeFill="accent2" w:themeFillTint="3F"/>
      </w:tcPr>
    </w:tblStylePr>
    <w:tblStylePr w:type="band1Horz">
      <w:tblPr/>
      <w:tcPr>
        <w:tcBorders>
          <w:left w:val="nil"/>
          <w:right w:val="nil"/>
          <w:insideH w:val="nil"/>
          <w:insideV w:val="nil"/>
        </w:tcBorders>
        <w:shd w:val="clear" w:color="auto" w:fill="FADECC" w:themeFill="accent2" w:themeFillTint="3F"/>
      </w:tcPr>
    </w:tblStylePr>
  </w:style>
  <w:style w:type="character" w:styleId="11">
    <w:name w:val="annotation reference"/>
    <w:basedOn w:val="10"/>
    <w:semiHidden/>
    <w:unhideWhenUsed/>
    <w:qFormat/>
    <w:uiPriority w:val="99"/>
    <w:rPr>
      <w:sz w:val="21"/>
      <w:szCs w:val="21"/>
    </w:rPr>
  </w:style>
  <w:style w:type="character" w:customStyle="1" w:styleId="12">
    <w:name w:val="页眉 字符"/>
    <w:basedOn w:val="10"/>
    <w:link w:val="5"/>
    <w:qFormat/>
    <w:uiPriority w:val="99"/>
    <w:rPr>
      <w:sz w:val="18"/>
      <w:szCs w:val="18"/>
    </w:rPr>
  </w:style>
  <w:style w:type="character" w:customStyle="1" w:styleId="13">
    <w:name w:val="页脚 字符"/>
    <w:basedOn w:val="10"/>
    <w:link w:val="4"/>
    <w:qFormat/>
    <w:uiPriority w:val="99"/>
    <w:rPr>
      <w:sz w:val="18"/>
      <w:szCs w:val="18"/>
    </w:rPr>
  </w:style>
  <w:style w:type="character" w:customStyle="1" w:styleId="14">
    <w:name w:val="批注文字 字符"/>
    <w:basedOn w:val="10"/>
    <w:link w:val="2"/>
    <w:semiHidden/>
    <w:qFormat/>
    <w:uiPriority w:val="99"/>
  </w:style>
  <w:style w:type="character" w:customStyle="1" w:styleId="15">
    <w:name w:val="批注主题 字符"/>
    <w:basedOn w:val="14"/>
    <w:link w:val="6"/>
    <w:semiHidden/>
    <w:qFormat/>
    <w:uiPriority w:val="99"/>
    <w:rPr>
      <w:b/>
      <w:bCs/>
    </w:rPr>
  </w:style>
  <w:style w:type="character" w:customStyle="1" w:styleId="16">
    <w:name w:val="批注框文本 字符"/>
    <w:basedOn w:val="10"/>
    <w:link w:val="3"/>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unnamedxuan</Company>
  <Pages>1</Pages>
  <Words>14</Words>
  <Characters>81</Characters>
  <Lines>1</Lines>
  <Paragraphs>1</Paragraphs>
  <TotalTime>18</TotalTime>
  <ScaleCrop>false</ScaleCrop>
  <LinksUpToDate>false</LinksUpToDate>
  <CharactersWithSpaces>94</CharactersWithSpaces>
  <Application>WPS Office_11.8.2.11542_F1E327BC-269C-435d-A152-05C5408002CA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2014-03-05T06:43:00Z</dcterms:created>
  <dc:creator>unnamedxuan@qq.com</dc:creator>
  <cp:lastModifiedBy>黄莘然</cp:lastModifiedBy>
  <dcterms:modified xsi:type="dcterms:W3CDTF">2024-12-18T01:43:36Z</dcterms:modified>
  <cp:revision>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2052-11.8.2.11542</vt:lpwstr>
  </property>
  <property fmtid="{D5CDD505-2E9C-101B-9397-08002B2CF9AE}" pid="3" name="ICV">
    <vt:lpwstr>22EB438B6E71432982BA343865294FE5</vt:lpwstr>
  </property>
</Properties>
</file>